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text" w:horzAnchor="margin" w:tblpY="52"/>
        <w:tblW w:w="7105" w:type="dxa"/>
        <w:tblBorders>
          <w:left w:val="single" w:sz="4" w:space="0" w:color="auto"/>
        </w:tblBorders>
        <w:tblLayout w:type="fixed"/>
        <w:tblCellMar>
          <w:left w:w="70" w:type="dxa"/>
          <w:right w:w="70" w:type="dxa"/>
        </w:tblCellMar>
        <w:tblLook w:val="0000" w:firstRow="0" w:lastRow="0" w:firstColumn="0" w:lastColumn="0" w:noHBand="0" w:noVBand="0"/>
      </w:tblPr>
      <w:tblGrid>
        <w:gridCol w:w="846"/>
        <w:gridCol w:w="1134"/>
        <w:gridCol w:w="1843"/>
        <w:gridCol w:w="1275"/>
        <w:gridCol w:w="822"/>
        <w:gridCol w:w="1185"/>
      </w:tblGrid>
      <w:tr w:rsidR="001E6AF4" w:rsidRPr="006768C1" w:rsidTr="001E6AF4">
        <w:trPr>
          <w:cantSplit/>
          <w:trHeight w:val="276"/>
        </w:trPr>
        <w:tc>
          <w:tcPr>
            <w:tcW w:w="846" w:type="dxa"/>
            <w:shd w:val="clear" w:color="auto" w:fill="auto"/>
          </w:tcPr>
          <w:p w:rsidR="001E6AF4" w:rsidRPr="006768C1" w:rsidRDefault="001E6AF4" w:rsidP="001E6AF4">
            <w:pPr>
              <w:suppressLineNumbers/>
              <w:suppressAutoHyphens/>
              <w:spacing w:line="360" w:lineRule="auto"/>
              <w:ind w:left="111" w:right="1"/>
              <w:rPr>
                <w:sz w:val="16"/>
                <w:szCs w:val="16"/>
              </w:rPr>
            </w:pPr>
            <w:bookmarkStart w:id="0" w:name="_GoBack"/>
            <w:bookmarkEnd w:id="0"/>
            <w:r>
              <w:rPr>
                <w:b/>
                <w:sz w:val="16"/>
                <w:szCs w:val="16"/>
              </w:rPr>
              <w:t>Datum</w:t>
            </w:r>
            <w:r w:rsidRPr="006768C1">
              <w:rPr>
                <w:b/>
                <w:sz w:val="16"/>
                <w:szCs w:val="16"/>
              </w:rPr>
              <w:t>:</w:t>
            </w:r>
            <w:r w:rsidRPr="001E6AF4">
              <w:rPr>
                <w:sz w:val="16"/>
                <w:szCs w:val="16"/>
              </w:rPr>
              <w:t xml:space="preserve"> </w:t>
            </w:r>
          </w:p>
        </w:tc>
        <w:tc>
          <w:tcPr>
            <w:tcW w:w="1134" w:type="dxa"/>
            <w:shd w:val="clear" w:color="auto" w:fill="auto"/>
          </w:tcPr>
          <w:p w:rsidR="001E6AF4" w:rsidRPr="00183C4C" w:rsidRDefault="00A52209" w:rsidP="001E6AF4">
            <w:pPr>
              <w:suppressLineNumbers/>
              <w:suppressAutoHyphens/>
              <w:spacing w:line="360" w:lineRule="auto"/>
              <w:ind w:left="111" w:right="1"/>
              <w:rPr>
                <w:b/>
                <w:sz w:val="16"/>
                <w:szCs w:val="16"/>
              </w:rPr>
            </w:pPr>
            <w:r>
              <w:rPr>
                <w:sz w:val="16"/>
                <w:szCs w:val="16"/>
              </w:rPr>
              <w:t>04.10.2018</w:t>
            </w:r>
          </w:p>
        </w:tc>
        <w:tc>
          <w:tcPr>
            <w:tcW w:w="1843" w:type="dxa"/>
            <w:shd w:val="clear" w:color="auto" w:fill="auto"/>
          </w:tcPr>
          <w:p w:rsidR="001E6AF4" w:rsidRPr="006768C1" w:rsidRDefault="001E6AF4" w:rsidP="001E6AF4">
            <w:pPr>
              <w:suppressLineNumbers/>
              <w:suppressAutoHyphens/>
              <w:spacing w:line="360" w:lineRule="auto"/>
              <w:ind w:left="111" w:right="1"/>
              <w:jc w:val="right"/>
              <w:rPr>
                <w:sz w:val="16"/>
                <w:szCs w:val="16"/>
              </w:rPr>
            </w:pPr>
            <w:r w:rsidRPr="00183C4C">
              <w:rPr>
                <w:b/>
                <w:sz w:val="16"/>
                <w:szCs w:val="16"/>
              </w:rPr>
              <w:t>Anzahl Zeichen:</w:t>
            </w:r>
          </w:p>
        </w:tc>
        <w:tc>
          <w:tcPr>
            <w:tcW w:w="1275" w:type="dxa"/>
            <w:shd w:val="clear" w:color="auto" w:fill="auto"/>
          </w:tcPr>
          <w:p w:rsidR="001E6AF4" w:rsidRPr="006768C1" w:rsidRDefault="007B3D5F" w:rsidP="001E6AF4">
            <w:pPr>
              <w:suppressLineNumbers/>
              <w:suppressAutoHyphens/>
              <w:spacing w:line="360" w:lineRule="auto"/>
              <w:ind w:left="111" w:right="1"/>
              <w:rPr>
                <w:sz w:val="16"/>
                <w:szCs w:val="16"/>
              </w:rPr>
            </w:pPr>
            <w:r>
              <w:rPr>
                <w:sz w:val="16"/>
                <w:szCs w:val="16"/>
              </w:rPr>
              <w:t>1.8</w:t>
            </w:r>
            <w:r w:rsidR="00CD37A7">
              <w:rPr>
                <w:sz w:val="16"/>
                <w:szCs w:val="16"/>
              </w:rPr>
              <w:t>9</w:t>
            </w:r>
            <w:r w:rsidR="00275486">
              <w:rPr>
                <w:sz w:val="16"/>
                <w:szCs w:val="16"/>
              </w:rPr>
              <w:t>2</w:t>
            </w:r>
          </w:p>
        </w:tc>
        <w:tc>
          <w:tcPr>
            <w:tcW w:w="822" w:type="dxa"/>
            <w:shd w:val="clear" w:color="auto" w:fill="auto"/>
          </w:tcPr>
          <w:p w:rsidR="001E6AF4" w:rsidRPr="006768C1" w:rsidRDefault="001E6AF4" w:rsidP="001E6AF4">
            <w:pPr>
              <w:suppressLineNumbers/>
              <w:suppressAutoHyphens/>
              <w:spacing w:line="360" w:lineRule="auto"/>
              <w:ind w:left="111" w:right="1"/>
              <w:jc w:val="right"/>
              <w:rPr>
                <w:sz w:val="16"/>
                <w:szCs w:val="16"/>
              </w:rPr>
            </w:pPr>
            <w:r w:rsidRPr="00AB6BA3">
              <w:rPr>
                <w:b/>
                <w:sz w:val="16"/>
                <w:szCs w:val="16"/>
              </w:rPr>
              <w:t>GPI:</w:t>
            </w:r>
          </w:p>
        </w:tc>
        <w:tc>
          <w:tcPr>
            <w:tcW w:w="1185" w:type="dxa"/>
            <w:shd w:val="clear" w:color="auto" w:fill="auto"/>
          </w:tcPr>
          <w:p w:rsidR="001E6AF4" w:rsidRPr="006768C1" w:rsidRDefault="007126A9" w:rsidP="001E6AF4">
            <w:pPr>
              <w:suppressLineNumbers/>
              <w:suppressAutoHyphens/>
              <w:spacing w:line="360" w:lineRule="auto"/>
              <w:ind w:left="111" w:right="1"/>
              <w:jc w:val="right"/>
              <w:rPr>
                <w:sz w:val="16"/>
                <w:szCs w:val="16"/>
              </w:rPr>
            </w:pPr>
            <w:r w:rsidRPr="00670F6E">
              <w:rPr>
                <w:sz w:val="16"/>
                <w:szCs w:val="16"/>
              </w:rPr>
              <w:t>201809033</w:t>
            </w:r>
          </w:p>
        </w:tc>
      </w:tr>
      <w:tr w:rsidR="001E6AF4" w:rsidRPr="00C83A67" w:rsidTr="001E6AF4">
        <w:trPr>
          <w:cantSplit/>
        </w:trPr>
        <w:tc>
          <w:tcPr>
            <w:tcW w:w="846" w:type="dxa"/>
            <w:shd w:val="clear" w:color="auto" w:fill="auto"/>
          </w:tcPr>
          <w:p w:rsidR="001E6AF4" w:rsidRPr="00AB6BA3" w:rsidRDefault="001E6AF4" w:rsidP="001E6AF4">
            <w:pPr>
              <w:suppressLineNumbers/>
              <w:suppressAutoHyphens/>
              <w:spacing w:line="360" w:lineRule="auto"/>
              <w:ind w:left="111" w:right="1"/>
              <w:rPr>
                <w:b/>
                <w:sz w:val="16"/>
                <w:szCs w:val="16"/>
              </w:rPr>
            </w:pPr>
            <w:r>
              <w:rPr>
                <w:b/>
                <w:sz w:val="16"/>
                <w:szCs w:val="16"/>
              </w:rPr>
              <w:t>Tags</w:t>
            </w:r>
            <w:r w:rsidRPr="006768C1">
              <w:rPr>
                <w:b/>
                <w:sz w:val="16"/>
                <w:szCs w:val="16"/>
              </w:rPr>
              <w:t>:</w:t>
            </w:r>
          </w:p>
        </w:tc>
        <w:tc>
          <w:tcPr>
            <w:tcW w:w="6259" w:type="dxa"/>
            <w:gridSpan w:val="5"/>
            <w:shd w:val="clear" w:color="auto" w:fill="auto"/>
          </w:tcPr>
          <w:p w:rsidR="001E6AF4" w:rsidRPr="00C83A67" w:rsidRDefault="007126A9" w:rsidP="00C64ADF">
            <w:pPr>
              <w:suppressLineNumbers/>
              <w:suppressAutoHyphens/>
              <w:spacing w:line="360" w:lineRule="auto"/>
              <w:ind w:left="111" w:right="1"/>
              <w:rPr>
                <w:b/>
                <w:sz w:val="16"/>
                <w:szCs w:val="16"/>
              </w:rPr>
            </w:pPr>
            <w:r w:rsidRPr="00C83A67">
              <w:rPr>
                <w:sz w:val="16"/>
                <w:szCs w:val="16"/>
              </w:rPr>
              <w:t>Embedded, mPCIe, WLAN, Blueto</w:t>
            </w:r>
            <w:r w:rsidR="009841F2">
              <w:rPr>
                <w:sz w:val="16"/>
                <w:szCs w:val="16"/>
              </w:rPr>
              <w:t>o</w:t>
            </w:r>
            <w:r w:rsidRPr="00C83A67">
              <w:rPr>
                <w:sz w:val="16"/>
                <w:szCs w:val="16"/>
              </w:rPr>
              <w:t>th</w:t>
            </w:r>
            <w:r w:rsidR="00C83A67" w:rsidRPr="00C83A67">
              <w:rPr>
                <w:sz w:val="16"/>
                <w:szCs w:val="16"/>
              </w:rPr>
              <w:t xml:space="preserve">, </w:t>
            </w:r>
            <w:r w:rsidR="003801CA">
              <w:rPr>
                <w:sz w:val="16"/>
                <w:szCs w:val="16"/>
              </w:rPr>
              <w:t xml:space="preserve">industriell, </w:t>
            </w:r>
            <w:r w:rsidR="00C83A67" w:rsidRPr="00C83A67">
              <w:rPr>
                <w:sz w:val="16"/>
                <w:szCs w:val="16"/>
              </w:rPr>
              <w:t>benutzerfreund</w:t>
            </w:r>
            <w:r w:rsidR="00C83A67">
              <w:rPr>
                <w:sz w:val="16"/>
                <w:szCs w:val="16"/>
              </w:rPr>
              <w:t>lich</w:t>
            </w:r>
          </w:p>
        </w:tc>
      </w:tr>
    </w:tbl>
    <w:p w:rsidR="001F037A" w:rsidRPr="00C83A67" w:rsidRDefault="001F037A" w:rsidP="006577F5">
      <w:pPr>
        <w:suppressLineNumbers/>
        <w:suppressAutoHyphens/>
        <w:spacing w:line="360" w:lineRule="auto"/>
        <w:ind w:right="1"/>
        <w:rPr>
          <w:b/>
          <w:sz w:val="24"/>
        </w:rPr>
      </w:pPr>
    </w:p>
    <w:p w:rsidR="00183C4C" w:rsidRDefault="00183C4C" w:rsidP="00183C4C">
      <w:pPr>
        <w:suppressLineNumbers/>
        <w:suppressAutoHyphens/>
        <w:spacing w:line="360" w:lineRule="auto"/>
        <w:ind w:right="1"/>
        <w:rPr>
          <w:sz w:val="36"/>
          <w:szCs w:val="36"/>
        </w:rPr>
      </w:pPr>
      <w:r w:rsidRPr="00185CAC">
        <w:rPr>
          <w:sz w:val="36"/>
          <w:szCs w:val="36"/>
        </w:rPr>
        <w:t>Presseinformation</w:t>
      </w:r>
    </w:p>
    <w:p w:rsidR="005F6886" w:rsidRPr="00FF1A9D" w:rsidRDefault="005F6886" w:rsidP="006577F5">
      <w:pPr>
        <w:suppressLineNumbers/>
        <w:suppressAutoHyphens/>
        <w:spacing w:line="360" w:lineRule="auto"/>
        <w:ind w:right="1"/>
        <w:rPr>
          <w:b/>
        </w:rPr>
      </w:pPr>
    </w:p>
    <w:p w:rsidR="006C0E5B" w:rsidRDefault="00102D97" w:rsidP="006577F5">
      <w:pPr>
        <w:suppressAutoHyphens/>
        <w:spacing w:line="360" w:lineRule="auto"/>
        <w:ind w:right="1"/>
        <w:rPr>
          <w:i/>
        </w:rPr>
      </w:pPr>
      <w:r>
        <w:rPr>
          <w:b/>
          <w:sz w:val="24"/>
        </w:rPr>
        <w:t>B</w:t>
      </w:r>
      <w:r w:rsidRPr="00102D97">
        <w:rPr>
          <w:b/>
          <w:sz w:val="24"/>
        </w:rPr>
        <w:t xml:space="preserve">enutzerfreundliche </w:t>
      </w:r>
      <w:r w:rsidR="00317C80">
        <w:rPr>
          <w:b/>
          <w:sz w:val="24"/>
        </w:rPr>
        <w:t>Embedded-PC-Erweiterungen</w:t>
      </w:r>
    </w:p>
    <w:p w:rsidR="00EF5BC3" w:rsidRPr="00D373D0" w:rsidRDefault="00EF5BC3" w:rsidP="006577F5">
      <w:pPr>
        <w:pStyle w:val="Kopfzeile"/>
        <w:tabs>
          <w:tab w:val="clear" w:pos="4536"/>
          <w:tab w:val="clear" w:pos="9072"/>
        </w:tabs>
        <w:suppressAutoHyphens/>
        <w:spacing w:line="360" w:lineRule="auto"/>
        <w:ind w:right="1"/>
      </w:pPr>
    </w:p>
    <w:p w:rsidR="00FF24C9" w:rsidRDefault="003801CA" w:rsidP="003902D7">
      <w:pPr>
        <w:pStyle w:val="Kopfzeile"/>
        <w:tabs>
          <w:tab w:val="clear" w:pos="4536"/>
          <w:tab w:val="clear" w:pos="9072"/>
        </w:tabs>
        <w:suppressAutoHyphens/>
        <w:spacing w:line="360" w:lineRule="auto"/>
        <w:ind w:right="1"/>
        <w:jc w:val="both"/>
      </w:pPr>
      <w:r>
        <w:t>Mit praxisgerechten Möglichkeiten für Funktionserweiterungen verbreitert ADL das Einsatzspektrum der kompakten Embedded-PCs EPC</w:t>
      </w:r>
      <w:r w:rsidR="00275486">
        <w:t>-</w:t>
      </w:r>
      <w:r>
        <w:t xml:space="preserve">1500 sowie der Singleboard-Computer E3800SEC. Verfügbar werden Connectivity-Optionen wie WLAN und Bluetooth, die für das Industrial-IoT und SCADA-Anwendungen zunehmend an Bedeutung gewinnen. Auch CAN(FD)-Anbindung, 4G/5G und andere I/O-Fähigkeiten sind nun nachrüstbar. Eine Allzweck-Trägerplatine, die zu praktisch jeder mPCIe-Karte passt, macht die Integration neuer Funktionen sehr einfach: Sie nimmt entweder </w:t>
      </w:r>
      <w:r w:rsidR="00CD37A7">
        <w:t>Karten</w:t>
      </w:r>
      <w:r>
        <w:t xml:space="preserve"> im Fullsize-Format auf oder fungiert als passender Adapter</w:t>
      </w:r>
      <w:r w:rsidRPr="00065DFF">
        <w:t xml:space="preserve"> </w:t>
      </w:r>
      <w:r>
        <w:t xml:space="preserve">für Halfsize-Module. Für die besonders stark gefragten WLAN/Bluetooth-Kombinationen ist neben der PCI-Express-Lane auch ein USB-Anschluss integriert, der für die Doppel-Funktion benötigt wird. Optimale Kompatibilität mit dem breiten Angebot erhältlicher mPCIe-Module ist durch elektrisches Design mit solide dimensionierten Spannungsversorgungen (3,3 V und 1,8 V) sowie hervorragenden EMV-Eigenschaften gewährleistet. Außer mPCIe-Nutzern können auch Kunden, die M.2-Erweiterungskarten (Modulformat 2242, Key-B-Steckanschluss) verwenden möchten, zügig geeignete Lösungen erhalten. Bei großer Flexibilität bietet das ADL-Erweiterungskonzept zugleich sehr schnelle Wege zum Ziel: Robuste WLAN-Karten und viele andere Module werden durch den Embedded-Spezialisten vorqualifiziert, um industrielle Tauglichkeit und Langzeitverfügbarkeit sicherzustellen. Diese ausgewählten Produkte sind in rauen Umgebungen bei Temperaturen </w:t>
      </w:r>
      <w:r w:rsidR="00CD37A7">
        <w:t>von</w:t>
      </w:r>
      <w:r>
        <w:t xml:space="preserve"> -40 bis +85 °C betreibbar. Bei Integration der neuen Erweiterung behält ein EPC</w:t>
      </w:r>
      <w:r w:rsidR="00275486">
        <w:t>-</w:t>
      </w:r>
      <w:r>
        <w:t>1500 seine schlanken Abmessungen von 33x86x81 mm bei. Für Fälle, in denen ergänzte Funktionen mehr Platz – zum Beispiel für zusätzliche Anschlussbuchsen – erfordern, stehen bald die Gehäuse-Ausführungen des EPC</w:t>
      </w:r>
      <w:r w:rsidR="00275486">
        <w:t>-</w:t>
      </w:r>
      <w:r>
        <w:t>1520 mit anpassbaren geräumigeren Front- und Rückplatten zur Verfügung</w:t>
      </w:r>
      <w:r w:rsidR="00455887">
        <w:t>.</w:t>
      </w:r>
    </w:p>
    <w:p w:rsidR="00B63F70" w:rsidRDefault="00B63F70" w:rsidP="003902D7">
      <w:pPr>
        <w:pStyle w:val="Kopfzeile"/>
        <w:tabs>
          <w:tab w:val="clear" w:pos="4536"/>
          <w:tab w:val="clear" w:pos="9072"/>
        </w:tabs>
        <w:suppressAutoHyphens/>
        <w:spacing w:line="360" w:lineRule="auto"/>
        <w:ind w:right="1"/>
        <w:jc w:val="both"/>
      </w:pPr>
    </w:p>
    <w:p w:rsidR="00B63F70" w:rsidRPr="00D373D0" w:rsidRDefault="00B63F70" w:rsidP="003902D7">
      <w:pPr>
        <w:pStyle w:val="Kopfzeile"/>
        <w:tabs>
          <w:tab w:val="clear" w:pos="4536"/>
          <w:tab w:val="clear" w:pos="9072"/>
        </w:tabs>
        <w:suppressAutoHyphens/>
        <w:spacing w:line="360" w:lineRule="auto"/>
        <w:ind w:right="1"/>
        <w:jc w:val="both"/>
      </w:pPr>
    </w:p>
    <w:p w:rsidR="00820FB1" w:rsidRDefault="00820FB1" w:rsidP="003902D7">
      <w:pPr>
        <w:pStyle w:val="Kopfzeile"/>
        <w:tabs>
          <w:tab w:val="clear" w:pos="4536"/>
          <w:tab w:val="clear" w:pos="9072"/>
        </w:tabs>
        <w:suppressAutoHyphens/>
        <w:spacing w:line="360" w:lineRule="auto"/>
        <w:ind w:right="1"/>
        <w:jc w:val="both"/>
      </w:pPr>
    </w:p>
    <w:p w:rsidR="00CD37A7" w:rsidRPr="00F86DCD" w:rsidRDefault="00CD37A7" w:rsidP="00CD37A7">
      <w:pPr>
        <w:suppressAutoHyphens/>
        <w:spacing w:line="360" w:lineRule="auto"/>
        <w:ind w:right="1"/>
        <w:jc w:val="both"/>
        <w:rPr>
          <w:b/>
          <w:sz w:val="16"/>
          <w:szCs w:val="16"/>
        </w:rPr>
      </w:pPr>
      <w:r w:rsidRPr="00F86DCD">
        <w:rPr>
          <w:b/>
          <w:sz w:val="16"/>
          <w:szCs w:val="16"/>
        </w:rPr>
        <w:lastRenderedPageBreak/>
        <w:t>Links:</w:t>
      </w:r>
    </w:p>
    <w:p w:rsidR="00CD37A7" w:rsidRPr="00F86DCD" w:rsidRDefault="00CD37A7" w:rsidP="00CD37A7">
      <w:pPr>
        <w:suppressAutoHyphens/>
        <w:spacing w:after="120"/>
        <w:ind w:right="1"/>
        <w:rPr>
          <w:sz w:val="16"/>
          <w:szCs w:val="16"/>
        </w:rPr>
      </w:pPr>
      <w:r w:rsidRPr="00F86DCD">
        <w:rPr>
          <w:sz w:val="16"/>
          <w:szCs w:val="16"/>
        </w:rPr>
        <w:t xml:space="preserve">Erweiterungen (Übersicht): </w:t>
      </w:r>
      <w:hyperlink r:id="rId8" w:history="1">
        <w:r w:rsidRPr="00F86DCD">
          <w:rPr>
            <w:rStyle w:val="Hyperlink"/>
            <w:sz w:val="16"/>
            <w:szCs w:val="16"/>
          </w:rPr>
          <w:t>https://adl-europe.com/accessories.html</w:t>
        </w:r>
      </w:hyperlink>
    </w:p>
    <w:p w:rsidR="00CD37A7" w:rsidRPr="001E2D4A" w:rsidRDefault="00CD37A7" w:rsidP="00CD37A7">
      <w:pPr>
        <w:suppressAutoHyphens/>
        <w:spacing w:after="120"/>
        <w:ind w:right="1"/>
        <w:rPr>
          <w:sz w:val="16"/>
          <w:szCs w:val="16"/>
          <w:lang w:val="en-US"/>
        </w:rPr>
      </w:pPr>
      <w:r w:rsidRPr="001E2D4A">
        <w:rPr>
          <w:sz w:val="16"/>
          <w:szCs w:val="16"/>
          <w:lang w:val="en-US"/>
        </w:rPr>
        <w:t>IPC ADLEPC</w:t>
      </w:r>
      <w:r w:rsidR="00275486">
        <w:rPr>
          <w:sz w:val="16"/>
          <w:szCs w:val="16"/>
          <w:lang w:val="en-US"/>
        </w:rPr>
        <w:t>-</w:t>
      </w:r>
      <w:r w:rsidRPr="001E2D4A">
        <w:rPr>
          <w:sz w:val="16"/>
          <w:szCs w:val="16"/>
          <w:lang w:val="en-US"/>
        </w:rPr>
        <w:t xml:space="preserve">1500: </w:t>
      </w:r>
      <w:hyperlink r:id="rId9" w:history="1">
        <w:r w:rsidRPr="001E2D4A">
          <w:rPr>
            <w:rStyle w:val="Hyperlink"/>
            <w:sz w:val="16"/>
            <w:szCs w:val="16"/>
            <w:lang w:val="en-US"/>
          </w:rPr>
          <w:t>https://adl-europe.com/products/systems/system-overwie/embedded-pc-systems-overview/adlepc-1500-mini-embedded-pc.html</w:t>
        </w:r>
      </w:hyperlink>
    </w:p>
    <w:p w:rsidR="00CD37A7" w:rsidRPr="001E2D4A" w:rsidRDefault="00CD37A7" w:rsidP="00CD37A7">
      <w:pPr>
        <w:suppressAutoHyphens/>
        <w:spacing w:after="120"/>
        <w:ind w:right="1"/>
        <w:rPr>
          <w:sz w:val="16"/>
          <w:szCs w:val="16"/>
          <w:lang w:val="en-US"/>
        </w:rPr>
      </w:pPr>
      <w:r w:rsidRPr="001E2D4A">
        <w:rPr>
          <w:sz w:val="16"/>
          <w:szCs w:val="16"/>
          <w:lang w:val="en-US"/>
        </w:rPr>
        <w:t>IPC ADLEPC</w:t>
      </w:r>
      <w:r w:rsidR="00275486">
        <w:rPr>
          <w:sz w:val="16"/>
          <w:szCs w:val="16"/>
          <w:lang w:val="en-US"/>
        </w:rPr>
        <w:t>-</w:t>
      </w:r>
      <w:r w:rsidRPr="001E2D4A">
        <w:rPr>
          <w:sz w:val="16"/>
          <w:szCs w:val="16"/>
          <w:lang w:val="en-US"/>
        </w:rPr>
        <w:t xml:space="preserve">1520: </w:t>
      </w:r>
      <w:hyperlink r:id="rId10" w:history="1">
        <w:r w:rsidRPr="001E2D4A">
          <w:rPr>
            <w:rStyle w:val="Hyperlink"/>
            <w:sz w:val="16"/>
            <w:szCs w:val="16"/>
            <w:lang w:val="en-US"/>
          </w:rPr>
          <w:t>https://adl-europe.com/products/systems/system-overwie/embedded-pc-systems-overview/adlepc-1520-mini-embedded-pc.html</w:t>
        </w:r>
      </w:hyperlink>
    </w:p>
    <w:p w:rsidR="00CD37A7" w:rsidRPr="001E2D4A" w:rsidRDefault="00CD37A7" w:rsidP="00CD37A7">
      <w:pPr>
        <w:suppressAutoHyphens/>
        <w:spacing w:after="120"/>
        <w:ind w:right="1"/>
        <w:rPr>
          <w:sz w:val="16"/>
          <w:szCs w:val="16"/>
          <w:lang w:val="en-US"/>
        </w:rPr>
      </w:pPr>
      <w:r w:rsidRPr="001E2D4A">
        <w:rPr>
          <w:sz w:val="16"/>
          <w:szCs w:val="16"/>
          <w:lang w:val="en-US"/>
        </w:rPr>
        <w:t xml:space="preserve">SBC ADLE3800SEC: </w:t>
      </w:r>
      <w:hyperlink r:id="rId11" w:history="1">
        <w:r w:rsidRPr="001E2D4A">
          <w:rPr>
            <w:rStyle w:val="Hyperlink"/>
            <w:sz w:val="16"/>
            <w:szCs w:val="16"/>
            <w:lang w:val="en-US"/>
          </w:rPr>
          <w:t>https://adl-europe.com/products/embedded-sbcs/adle3800sec.html</w:t>
        </w:r>
      </w:hyperlink>
    </w:p>
    <w:p w:rsidR="00CD37A7" w:rsidRPr="00CD37A7" w:rsidRDefault="00CD37A7" w:rsidP="003902D7">
      <w:pPr>
        <w:pStyle w:val="Kopfzeile"/>
        <w:tabs>
          <w:tab w:val="clear" w:pos="4536"/>
          <w:tab w:val="clear" w:pos="9072"/>
        </w:tabs>
        <w:suppressAutoHyphens/>
        <w:spacing w:line="360" w:lineRule="auto"/>
        <w:ind w:right="1"/>
        <w:jc w:val="both"/>
        <w:rPr>
          <w:lang w:val="en-US"/>
        </w:rPr>
      </w:pPr>
    </w:p>
    <w:tbl>
      <w:tblPr>
        <w:tblW w:w="6950" w:type="dxa"/>
        <w:tblInd w:w="70" w:type="dxa"/>
        <w:tblLayout w:type="fixed"/>
        <w:tblCellMar>
          <w:left w:w="70" w:type="dxa"/>
          <w:right w:w="70" w:type="dxa"/>
        </w:tblCellMar>
        <w:tblLook w:val="0000" w:firstRow="0" w:lastRow="0" w:firstColumn="0" w:lastColumn="0" w:noHBand="0" w:noVBand="0"/>
      </w:tblPr>
      <w:tblGrid>
        <w:gridCol w:w="6950"/>
      </w:tblGrid>
      <w:tr w:rsidR="004879C6" w:rsidRPr="00975530" w:rsidTr="00820FB1">
        <w:trPr>
          <w:trHeight w:val="2672"/>
        </w:trPr>
        <w:tc>
          <w:tcPr>
            <w:tcW w:w="6950" w:type="dxa"/>
            <w:shd w:val="clear" w:color="auto" w:fill="auto"/>
          </w:tcPr>
          <w:p w:rsidR="004879C6" w:rsidRPr="00975530" w:rsidRDefault="004D6FDC" w:rsidP="006577F5">
            <w:pPr>
              <w:suppressAutoHyphens/>
              <w:spacing w:after="120"/>
              <w:ind w:right="1"/>
              <w:jc w:val="center"/>
              <w:rPr>
                <w:noProof/>
              </w:rPr>
            </w:pPr>
            <w:r>
              <w:rPr>
                <w:noProof/>
              </w:rPr>
              <w:drawing>
                <wp:inline distT="0" distB="0" distL="0" distR="0">
                  <wp:extent cx="4324350" cy="24276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L_SEC_mPCIE_expansion_1000px.jpg"/>
                          <pic:cNvPicPr/>
                        </pic:nvPicPr>
                        <pic:blipFill>
                          <a:blip r:embed="rId12">
                            <a:extLst>
                              <a:ext uri="{28A0092B-C50C-407E-A947-70E740481C1C}">
                                <a14:useLocalDpi xmlns:a14="http://schemas.microsoft.com/office/drawing/2010/main" val="0"/>
                              </a:ext>
                            </a:extLst>
                          </a:blip>
                          <a:stretch>
                            <a:fillRect/>
                          </a:stretch>
                        </pic:blipFill>
                        <pic:spPr>
                          <a:xfrm>
                            <a:off x="0" y="0"/>
                            <a:ext cx="4324350" cy="2427605"/>
                          </a:xfrm>
                          <a:prstGeom prst="rect">
                            <a:avLst/>
                          </a:prstGeom>
                        </pic:spPr>
                      </pic:pic>
                    </a:graphicData>
                  </a:graphic>
                </wp:inline>
              </w:drawing>
            </w:r>
          </w:p>
        </w:tc>
      </w:tr>
      <w:tr w:rsidR="00820FB1" w:rsidTr="001F0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6"/>
        </w:trPr>
        <w:tc>
          <w:tcPr>
            <w:tcW w:w="6950" w:type="dxa"/>
            <w:tcBorders>
              <w:top w:val="nil"/>
              <w:left w:val="single" w:sz="4" w:space="0" w:color="auto"/>
              <w:bottom w:val="nil"/>
              <w:right w:val="nil"/>
            </w:tcBorders>
          </w:tcPr>
          <w:p w:rsidR="00820FB1" w:rsidRDefault="00820FB1" w:rsidP="006577F5">
            <w:pPr>
              <w:suppressAutoHyphens/>
              <w:spacing w:line="360" w:lineRule="auto"/>
              <w:ind w:left="93" w:right="1"/>
              <w:jc w:val="both"/>
              <w:rPr>
                <w:lang w:val="en-US"/>
              </w:rPr>
            </w:pPr>
            <w:r>
              <w:rPr>
                <w:b/>
                <w:sz w:val="16"/>
                <w:szCs w:val="16"/>
              </w:rPr>
              <w:t>Bild</w:t>
            </w:r>
            <w:r w:rsidR="0033036B">
              <w:rPr>
                <w:b/>
                <w:sz w:val="16"/>
                <w:szCs w:val="16"/>
              </w:rPr>
              <w:t xml:space="preserve"> 1</w:t>
            </w:r>
            <w:r w:rsidRPr="006768C1">
              <w:rPr>
                <w:b/>
                <w:sz w:val="16"/>
                <w:szCs w:val="16"/>
              </w:rPr>
              <w:t>:</w:t>
            </w:r>
          </w:p>
        </w:tc>
      </w:tr>
      <w:tr w:rsidR="00820FB1" w:rsidRPr="001F037A" w:rsidTr="001F0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3"/>
        </w:trPr>
        <w:tc>
          <w:tcPr>
            <w:tcW w:w="6950" w:type="dxa"/>
            <w:tcBorders>
              <w:top w:val="nil"/>
              <w:left w:val="single" w:sz="4" w:space="0" w:color="auto"/>
              <w:bottom w:val="nil"/>
              <w:right w:val="nil"/>
            </w:tcBorders>
          </w:tcPr>
          <w:p w:rsidR="00820FB1" w:rsidRPr="001F037A" w:rsidRDefault="004D6FDC" w:rsidP="006577F5">
            <w:pPr>
              <w:suppressAutoHyphens/>
              <w:spacing w:line="360" w:lineRule="auto"/>
              <w:ind w:left="93" w:right="1"/>
            </w:pPr>
            <w:r>
              <w:rPr>
                <w:sz w:val="16"/>
                <w:szCs w:val="16"/>
              </w:rPr>
              <w:t>Für EPC</w:t>
            </w:r>
            <w:r w:rsidR="00275486">
              <w:rPr>
                <w:sz w:val="16"/>
                <w:szCs w:val="16"/>
              </w:rPr>
              <w:t>-</w:t>
            </w:r>
            <w:r>
              <w:rPr>
                <w:sz w:val="16"/>
                <w:szCs w:val="16"/>
              </w:rPr>
              <w:t xml:space="preserve">1500 </w:t>
            </w:r>
            <w:r w:rsidR="000C1A38">
              <w:rPr>
                <w:sz w:val="16"/>
                <w:szCs w:val="16"/>
              </w:rPr>
              <w:t xml:space="preserve">und E3800SEC </w:t>
            </w:r>
            <w:r>
              <w:rPr>
                <w:sz w:val="16"/>
                <w:szCs w:val="16"/>
              </w:rPr>
              <w:t>bietet ADL jetzt praktische mPCIe-Träger</w:t>
            </w:r>
            <w:r w:rsidR="00CD37A7">
              <w:rPr>
                <w:sz w:val="16"/>
                <w:szCs w:val="16"/>
              </w:rPr>
              <w:t>platinen an</w:t>
            </w:r>
            <w:r>
              <w:rPr>
                <w:sz w:val="16"/>
                <w:szCs w:val="16"/>
              </w:rPr>
              <w:t>, um schnell und einfach WLAN, Bluetooth</w:t>
            </w:r>
            <w:r w:rsidR="00CD37A7">
              <w:rPr>
                <w:sz w:val="16"/>
                <w:szCs w:val="16"/>
              </w:rPr>
              <w:t xml:space="preserve"> oder viele </w:t>
            </w:r>
            <w:r>
              <w:rPr>
                <w:sz w:val="16"/>
                <w:szCs w:val="16"/>
              </w:rPr>
              <w:t xml:space="preserve">andere </w:t>
            </w:r>
            <w:r w:rsidR="00CD37A7">
              <w:rPr>
                <w:sz w:val="16"/>
                <w:szCs w:val="16"/>
              </w:rPr>
              <w:t>I/O-</w:t>
            </w:r>
            <w:r>
              <w:rPr>
                <w:sz w:val="16"/>
                <w:szCs w:val="16"/>
              </w:rPr>
              <w:t>Funktionen zu ergänzen</w:t>
            </w:r>
          </w:p>
        </w:tc>
      </w:tr>
    </w:tbl>
    <w:p w:rsidR="001F037A" w:rsidRDefault="001F037A" w:rsidP="006577F5">
      <w:pPr>
        <w:suppressLineNumbers/>
        <w:suppressAutoHyphens/>
        <w:spacing w:line="360" w:lineRule="auto"/>
        <w:ind w:right="1"/>
        <w:jc w:val="both"/>
      </w:pPr>
    </w:p>
    <w:tbl>
      <w:tblPr>
        <w:tblW w:w="6950" w:type="dxa"/>
        <w:tblInd w:w="70" w:type="dxa"/>
        <w:tblLayout w:type="fixed"/>
        <w:tblCellMar>
          <w:left w:w="70" w:type="dxa"/>
          <w:right w:w="70" w:type="dxa"/>
        </w:tblCellMar>
        <w:tblLook w:val="0000" w:firstRow="0" w:lastRow="0" w:firstColumn="0" w:lastColumn="0" w:noHBand="0" w:noVBand="0"/>
      </w:tblPr>
      <w:tblGrid>
        <w:gridCol w:w="3475"/>
        <w:gridCol w:w="3475"/>
      </w:tblGrid>
      <w:tr w:rsidR="0033036B" w:rsidRPr="00975530" w:rsidTr="0033036B">
        <w:trPr>
          <w:trHeight w:val="1898"/>
        </w:trPr>
        <w:tc>
          <w:tcPr>
            <w:tcW w:w="3475" w:type="dxa"/>
            <w:shd w:val="clear" w:color="auto" w:fill="auto"/>
          </w:tcPr>
          <w:p w:rsidR="0033036B" w:rsidRPr="00975530" w:rsidRDefault="0033036B" w:rsidP="00C84644">
            <w:pPr>
              <w:suppressAutoHyphens/>
              <w:spacing w:after="120"/>
              <w:ind w:right="1"/>
              <w:jc w:val="center"/>
              <w:rPr>
                <w:noProof/>
              </w:rPr>
            </w:pPr>
            <w:r>
              <w:rPr>
                <w:noProof/>
              </w:rPr>
              <w:drawing>
                <wp:inline distT="0" distB="0" distL="0" distR="0" wp14:anchorId="7853868E" wp14:editId="375DF2B8">
                  <wp:extent cx="1997710" cy="1120140"/>
                  <wp:effectExtent l="0" t="0" r="254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997710" cy="1120140"/>
                          </a:xfrm>
                          <a:prstGeom prst="rect">
                            <a:avLst/>
                          </a:prstGeom>
                        </pic:spPr>
                      </pic:pic>
                    </a:graphicData>
                  </a:graphic>
                </wp:inline>
              </w:drawing>
            </w:r>
          </w:p>
        </w:tc>
        <w:tc>
          <w:tcPr>
            <w:tcW w:w="3475" w:type="dxa"/>
            <w:shd w:val="clear" w:color="auto" w:fill="auto"/>
          </w:tcPr>
          <w:p w:rsidR="0033036B" w:rsidRPr="00975530" w:rsidRDefault="0033036B" w:rsidP="00C84644">
            <w:pPr>
              <w:suppressAutoHyphens/>
              <w:spacing w:after="120"/>
              <w:ind w:right="1"/>
              <w:jc w:val="center"/>
              <w:rPr>
                <w:noProof/>
              </w:rPr>
            </w:pPr>
            <w:r>
              <w:rPr>
                <w:noProof/>
              </w:rPr>
              <w:drawing>
                <wp:inline distT="0" distB="0" distL="0" distR="0" wp14:anchorId="6E05D095" wp14:editId="701FE873">
                  <wp:extent cx="1997710" cy="1120140"/>
                  <wp:effectExtent l="0" t="0" r="254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997710" cy="1120140"/>
                          </a:xfrm>
                          <a:prstGeom prst="rect">
                            <a:avLst/>
                          </a:prstGeom>
                        </pic:spPr>
                      </pic:pic>
                    </a:graphicData>
                  </a:graphic>
                </wp:inline>
              </w:drawing>
            </w:r>
          </w:p>
        </w:tc>
      </w:tr>
      <w:tr w:rsidR="0033036B" w:rsidTr="005D6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6"/>
        </w:trPr>
        <w:tc>
          <w:tcPr>
            <w:tcW w:w="3475" w:type="dxa"/>
            <w:tcBorders>
              <w:top w:val="nil"/>
              <w:left w:val="single" w:sz="4" w:space="0" w:color="auto"/>
              <w:bottom w:val="nil"/>
              <w:right w:val="nil"/>
            </w:tcBorders>
          </w:tcPr>
          <w:p w:rsidR="0033036B" w:rsidRDefault="0033036B" w:rsidP="00C84644">
            <w:pPr>
              <w:suppressAutoHyphens/>
              <w:spacing w:line="360" w:lineRule="auto"/>
              <w:ind w:left="93" w:right="1"/>
              <w:jc w:val="both"/>
              <w:rPr>
                <w:lang w:val="en-US"/>
              </w:rPr>
            </w:pPr>
            <w:r>
              <w:rPr>
                <w:b/>
                <w:sz w:val="16"/>
                <w:szCs w:val="16"/>
              </w:rPr>
              <w:t>Bild 2</w:t>
            </w:r>
            <w:r w:rsidRPr="006768C1">
              <w:rPr>
                <w:b/>
                <w:sz w:val="16"/>
                <w:szCs w:val="16"/>
              </w:rPr>
              <w:t>:</w:t>
            </w:r>
          </w:p>
        </w:tc>
        <w:tc>
          <w:tcPr>
            <w:tcW w:w="3475" w:type="dxa"/>
            <w:tcBorders>
              <w:top w:val="nil"/>
              <w:left w:val="single" w:sz="4" w:space="0" w:color="auto"/>
              <w:bottom w:val="nil"/>
              <w:right w:val="nil"/>
            </w:tcBorders>
          </w:tcPr>
          <w:p w:rsidR="0033036B" w:rsidRDefault="0033036B" w:rsidP="00C84644">
            <w:pPr>
              <w:suppressAutoHyphens/>
              <w:spacing w:line="360" w:lineRule="auto"/>
              <w:ind w:left="93" w:right="1"/>
              <w:jc w:val="both"/>
              <w:rPr>
                <w:lang w:val="en-US"/>
              </w:rPr>
            </w:pPr>
            <w:r>
              <w:rPr>
                <w:b/>
                <w:sz w:val="16"/>
                <w:szCs w:val="16"/>
              </w:rPr>
              <w:t>Bild 3</w:t>
            </w:r>
            <w:r w:rsidRPr="006768C1">
              <w:rPr>
                <w:b/>
                <w:sz w:val="16"/>
                <w:szCs w:val="16"/>
              </w:rPr>
              <w:t>:</w:t>
            </w:r>
          </w:p>
        </w:tc>
      </w:tr>
      <w:tr w:rsidR="0033036B" w:rsidRPr="001F037A" w:rsidTr="00736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3"/>
        </w:trPr>
        <w:tc>
          <w:tcPr>
            <w:tcW w:w="3475" w:type="dxa"/>
            <w:tcBorders>
              <w:top w:val="nil"/>
              <w:left w:val="single" w:sz="4" w:space="0" w:color="auto"/>
              <w:bottom w:val="nil"/>
              <w:right w:val="nil"/>
            </w:tcBorders>
          </w:tcPr>
          <w:p w:rsidR="0033036B" w:rsidRPr="001F037A" w:rsidRDefault="00275486" w:rsidP="00C84644">
            <w:pPr>
              <w:suppressAutoHyphens/>
              <w:spacing w:line="360" w:lineRule="auto"/>
              <w:ind w:left="93" w:right="1"/>
            </w:pPr>
            <w:r>
              <w:rPr>
                <w:sz w:val="16"/>
                <w:szCs w:val="16"/>
              </w:rPr>
              <w:t xml:space="preserve">mPCIe-Trägerplatinen für IPCs und SBCs von ADL erlauben </w:t>
            </w:r>
            <w:r w:rsidR="0033036B">
              <w:rPr>
                <w:sz w:val="16"/>
                <w:szCs w:val="16"/>
              </w:rPr>
              <w:t>Funktionserweiterung</w:t>
            </w:r>
            <w:r>
              <w:rPr>
                <w:sz w:val="16"/>
                <w:szCs w:val="16"/>
              </w:rPr>
              <w:t>en</w:t>
            </w:r>
          </w:p>
        </w:tc>
        <w:tc>
          <w:tcPr>
            <w:tcW w:w="3475" w:type="dxa"/>
            <w:tcBorders>
              <w:top w:val="nil"/>
              <w:left w:val="single" w:sz="4" w:space="0" w:color="auto"/>
              <w:bottom w:val="nil"/>
              <w:right w:val="nil"/>
            </w:tcBorders>
          </w:tcPr>
          <w:p w:rsidR="0033036B" w:rsidRPr="001F037A" w:rsidRDefault="00275486" w:rsidP="00C84644">
            <w:pPr>
              <w:suppressAutoHyphens/>
              <w:spacing w:line="360" w:lineRule="auto"/>
              <w:ind w:left="93" w:right="1"/>
            </w:pPr>
            <w:r>
              <w:rPr>
                <w:sz w:val="16"/>
                <w:szCs w:val="16"/>
              </w:rPr>
              <w:t>mPCIe-Trägerplatinen für IPCs und SBCs von ADL erlauben Funktionserweiterungen</w:t>
            </w:r>
          </w:p>
        </w:tc>
      </w:tr>
    </w:tbl>
    <w:p w:rsidR="0062360E" w:rsidRDefault="0062360E" w:rsidP="006577F5">
      <w:pPr>
        <w:suppressLineNumbers/>
        <w:suppressAutoHyphens/>
        <w:spacing w:line="360" w:lineRule="auto"/>
        <w:ind w:right="1"/>
        <w:jc w:val="both"/>
      </w:pPr>
    </w:p>
    <w:p w:rsidR="0033036B" w:rsidRDefault="0033036B" w:rsidP="006577F5">
      <w:pPr>
        <w:suppressLineNumbers/>
        <w:suppressAutoHyphens/>
        <w:spacing w:line="360" w:lineRule="auto"/>
        <w:ind w:right="1"/>
        <w:jc w:val="both"/>
      </w:pPr>
    </w:p>
    <w:p w:rsidR="001F037A" w:rsidRPr="001F037A" w:rsidRDefault="001F037A" w:rsidP="006577F5">
      <w:pPr>
        <w:suppressLineNumbers/>
        <w:suppressAutoHyphens/>
        <w:spacing w:line="360" w:lineRule="auto"/>
        <w:ind w:right="1"/>
        <w:jc w:val="both"/>
      </w:pPr>
    </w:p>
    <w:tbl>
      <w:tblPr>
        <w:tblW w:w="6950" w:type="dxa"/>
        <w:tblInd w:w="70" w:type="dxa"/>
        <w:tblLayout w:type="fixed"/>
        <w:tblCellMar>
          <w:left w:w="68" w:type="dxa"/>
          <w:right w:w="70" w:type="dxa"/>
        </w:tblCellMar>
        <w:tblLook w:val="0000" w:firstRow="0" w:lastRow="0" w:firstColumn="0" w:lastColumn="0" w:noHBand="0" w:noVBand="0"/>
      </w:tblPr>
      <w:tblGrid>
        <w:gridCol w:w="3611"/>
        <w:gridCol w:w="79"/>
        <w:gridCol w:w="3260"/>
      </w:tblGrid>
      <w:tr w:rsidR="00D60B1A" w:rsidRPr="006768C1" w:rsidTr="003F32CC">
        <w:trPr>
          <w:cantSplit/>
          <w:trHeight w:val="260"/>
        </w:trPr>
        <w:tc>
          <w:tcPr>
            <w:tcW w:w="3611" w:type="dxa"/>
            <w:tcBorders>
              <w:left w:val="single" w:sz="4" w:space="0" w:color="auto"/>
            </w:tcBorders>
            <w:shd w:val="clear" w:color="auto" w:fill="auto"/>
          </w:tcPr>
          <w:p w:rsidR="00D60B1A" w:rsidRPr="006768C1" w:rsidRDefault="00D60B1A" w:rsidP="003F32CC">
            <w:pPr>
              <w:suppressLineNumbers/>
              <w:suppressAutoHyphens/>
              <w:spacing w:line="360" w:lineRule="auto"/>
              <w:ind w:left="42" w:right="1" w:firstLine="89"/>
              <w:rPr>
                <w:sz w:val="16"/>
                <w:szCs w:val="16"/>
              </w:rPr>
            </w:pPr>
            <w:r>
              <w:rPr>
                <w:b/>
                <w:sz w:val="16"/>
                <w:szCs w:val="16"/>
              </w:rPr>
              <w:t>Dateiname</w:t>
            </w:r>
            <w:r w:rsidRPr="006768C1">
              <w:rPr>
                <w:b/>
                <w:sz w:val="16"/>
                <w:szCs w:val="16"/>
              </w:rPr>
              <w:t>:</w:t>
            </w:r>
          </w:p>
        </w:tc>
        <w:tc>
          <w:tcPr>
            <w:tcW w:w="3339" w:type="dxa"/>
            <w:gridSpan w:val="2"/>
            <w:shd w:val="clear" w:color="auto" w:fill="auto"/>
            <w:tcMar>
              <w:left w:w="113" w:type="dxa"/>
            </w:tcMar>
          </w:tcPr>
          <w:p w:rsidR="00D60B1A" w:rsidRPr="006768C1" w:rsidRDefault="00D60B1A" w:rsidP="003F32CC">
            <w:pPr>
              <w:suppressLineNumbers/>
              <w:suppressAutoHyphens/>
              <w:spacing w:line="360" w:lineRule="auto"/>
              <w:ind w:left="42" w:right="1" w:firstLine="89"/>
              <w:rPr>
                <w:sz w:val="16"/>
                <w:szCs w:val="16"/>
              </w:rPr>
            </w:pPr>
            <w:r w:rsidRPr="006768C1">
              <w:rPr>
                <w:b/>
                <w:sz w:val="16"/>
                <w:szCs w:val="16"/>
              </w:rPr>
              <w:t>Bild</w:t>
            </w:r>
            <w:r>
              <w:rPr>
                <w:b/>
                <w:sz w:val="16"/>
                <w:szCs w:val="16"/>
              </w:rPr>
              <w:t>datei(en)</w:t>
            </w:r>
            <w:r w:rsidRPr="006768C1">
              <w:rPr>
                <w:b/>
                <w:sz w:val="16"/>
                <w:szCs w:val="16"/>
              </w:rPr>
              <w:t>:</w:t>
            </w:r>
          </w:p>
        </w:tc>
      </w:tr>
      <w:tr w:rsidR="003F32CC" w:rsidRPr="006768C1" w:rsidTr="003F32CC">
        <w:trPr>
          <w:cantSplit/>
          <w:trHeight w:val="256"/>
        </w:trPr>
        <w:tc>
          <w:tcPr>
            <w:tcW w:w="3611" w:type="dxa"/>
            <w:tcBorders>
              <w:left w:val="single" w:sz="4" w:space="0" w:color="auto"/>
            </w:tcBorders>
            <w:shd w:val="clear" w:color="auto" w:fill="auto"/>
          </w:tcPr>
          <w:p w:rsidR="003F32CC" w:rsidRPr="006768C1" w:rsidRDefault="001D6954" w:rsidP="003F32CC">
            <w:pPr>
              <w:suppressLineNumbers/>
              <w:suppressAutoHyphens/>
              <w:ind w:left="42" w:right="1" w:firstLine="89"/>
              <w:rPr>
                <w:sz w:val="16"/>
                <w:szCs w:val="16"/>
              </w:rPr>
            </w:pPr>
            <w:r w:rsidRPr="001D6954">
              <w:rPr>
                <w:sz w:val="16"/>
                <w:szCs w:val="16"/>
              </w:rPr>
              <w:t>201809033_pm_erweiterungsopt_epc</w:t>
            </w:r>
            <w:r w:rsidR="00CC48F9">
              <w:rPr>
                <w:sz w:val="16"/>
                <w:szCs w:val="16"/>
              </w:rPr>
              <w:t>-</w:t>
            </w:r>
            <w:r w:rsidRPr="001D6954">
              <w:rPr>
                <w:sz w:val="16"/>
                <w:szCs w:val="16"/>
              </w:rPr>
              <w:t>1500</w:t>
            </w:r>
          </w:p>
        </w:tc>
        <w:tc>
          <w:tcPr>
            <w:tcW w:w="3339" w:type="dxa"/>
            <w:gridSpan w:val="2"/>
            <w:shd w:val="clear" w:color="auto" w:fill="auto"/>
            <w:tcMar>
              <w:left w:w="113" w:type="dxa"/>
            </w:tcMar>
          </w:tcPr>
          <w:p w:rsidR="003F32CC" w:rsidRPr="006768C1" w:rsidRDefault="00275486" w:rsidP="003F32CC">
            <w:pPr>
              <w:suppressLineNumbers/>
              <w:suppressAutoHyphens/>
              <w:ind w:left="42" w:right="1" w:firstLine="89"/>
              <w:rPr>
                <w:sz w:val="16"/>
                <w:szCs w:val="16"/>
              </w:rPr>
            </w:pPr>
            <w:r w:rsidRPr="00275486">
              <w:rPr>
                <w:sz w:val="16"/>
                <w:szCs w:val="16"/>
              </w:rPr>
              <w:t>SEC_mPCI</w:t>
            </w:r>
            <w:r w:rsidR="00AA611E">
              <w:rPr>
                <w:sz w:val="16"/>
                <w:szCs w:val="16"/>
              </w:rPr>
              <w:t>e</w:t>
            </w:r>
            <w:r w:rsidRPr="00275486">
              <w:rPr>
                <w:sz w:val="16"/>
                <w:szCs w:val="16"/>
              </w:rPr>
              <w:t>_expansion_01</w:t>
            </w:r>
          </w:p>
        </w:tc>
      </w:tr>
      <w:tr w:rsidR="00D60B1A" w:rsidRPr="006768C1" w:rsidTr="003F32CC">
        <w:trPr>
          <w:cantSplit/>
          <w:trHeight w:val="256"/>
        </w:trPr>
        <w:tc>
          <w:tcPr>
            <w:tcW w:w="3611" w:type="dxa"/>
            <w:tcBorders>
              <w:left w:val="single" w:sz="4" w:space="0" w:color="auto"/>
            </w:tcBorders>
            <w:shd w:val="clear" w:color="auto" w:fill="auto"/>
          </w:tcPr>
          <w:p w:rsidR="00D60B1A" w:rsidRDefault="00D60B1A" w:rsidP="006064CF">
            <w:pPr>
              <w:suppressLineNumbers/>
              <w:suppressAutoHyphens/>
              <w:spacing w:line="360" w:lineRule="auto"/>
              <w:ind w:left="42" w:right="1" w:firstLine="89"/>
              <w:rPr>
                <w:b/>
                <w:sz w:val="16"/>
                <w:szCs w:val="16"/>
              </w:rPr>
            </w:pPr>
          </w:p>
        </w:tc>
        <w:tc>
          <w:tcPr>
            <w:tcW w:w="3339" w:type="dxa"/>
            <w:gridSpan w:val="2"/>
            <w:shd w:val="clear" w:color="auto" w:fill="auto"/>
            <w:tcMar>
              <w:left w:w="113" w:type="dxa"/>
            </w:tcMar>
          </w:tcPr>
          <w:p w:rsidR="00D60B1A" w:rsidRPr="00714ECB" w:rsidRDefault="00275486" w:rsidP="006064CF">
            <w:pPr>
              <w:suppressLineNumbers/>
              <w:suppressAutoHyphens/>
              <w:spacing w:line="360" w:lineRule="auto"/>
              <w:ind w:left="42" w:right="1" w:firstLine="89"/>
              <w:rPr>
                <w:sz w:val="16"/>
                <w:szCs w:val="16"/>
              </w:rPr>
            </w:pPr>
            <w:r w:rsidRPr="00714ECB">
              <w:rPr>
                <w:sz w:val="16"/>
                <w:szCs w:val="16"/>
              </w:rPr>
              <w:t>SEC_mPCI</w:t>
            </w:r>
            <w:r w:rsidR="00AA611E">
              <w:rPr>
                <w:sz w:val="16"/>
                <w:szCs w:val="16"/>
              </w:rPr>
              <w:t>e</w:t>
            </w:r>
            <w:r w:rsidRPr="00714ECB">
              <w:rPr>
                <w:sz w:val="16"/>
                <w:szCs w:val="16"/>
              </w:rPr>
              <w:t>_expansion_0</w:t>
            </w:r>
            <w:r w:rsidR="00714ECB">
              <w:rPr>
                <w:sz w:val="16"/>
                <w:szCs w:val="16"/>
              </w:rPr>
              <w:t>2</w:t>
            </w:r>
          </w:p>
        </w:tc>
      </w:tr>
      <w:tr w:rsidR="00D60B1A" w:rsidRPr="00140B59" w:rsidTr="003F32CC">
        <w:trPr>
          <w:cantSplit/>
          <w:trHeight w:val="256"/>
        </w:trPr>
        <w:tc>
          <w:tcPr>
            <w:tcW w:w="3611" w:type="dxa"/>
            <w:tcBorders>
              <w:left w:val="single" w:sz="4" w:space="0" w:color="auto"/>
            </w:tcBorders>
            <w:shd w:val="clear" w:color="auto" w:fill="auto"/>
          </w:tcPr>
          <w:p w:rsidR="00D60B1A" w:rsidRPr="00140B59" w:rsidRDefault="003F32CC" w:rsidP="006064CF">
            <w:pPr>
              <w:suppressLineNumbers/>
              <w:suppressAutoHyphens/>
              <w:spacing w:line="360" w:lineRule="auto"/>
              <w:ind w:left="42" w:right="1" w:firstLine="89"/>
              <w:rPr>
                <w:b/>
                <w:sz w:val="16"/>
                <w:szCs w:val="16"/>
                <w:lang w:val="en-US"/>
              </w:rPr>
            </w:pPr>
            <w:r w:rsidRPr="00140B59">
              <w:rPr>
                <w:b/>
                <w:sz w:val="16"/>
                <w:szCs w:val="16"/>
                <w:lang w:val="en-US"/>
              </w:rPr>
              <w:t>Themenfeld / Business Unit / Segment:</w:t>
            </w:r>
          </w:p>
        </w:tc>
        <w:tc>
          <w:tcPr>
            <w:tcW w:w="3339" w:type="dxa"/>
            <w:gridSpan w:val="2"/>
            <w:shd w:val="clear" w:color="auto" w:fill="auto"/>
            <w:tcMar>
              <w:left w:w="113" w:type="dxa"/>
            </w:tcMar>
          </w:tcPr>
          <w:p w:rsidR="00D60B1A" w:rsidRPr="00714ECB" w:rsidRDefault="00714ECB" w:rsidP="006064CF">
            <w:pPr>
              <w:suppressLineNumbers/>
              <w:suppressAutoHyphens/>
              <w:spacing w:line="360" w:lineRule="auto"/>
              <w:ind w:left="42" w:right="1" w:firstLine="89"/>
              <w:rPr>
                <w:sz w:val="16"/>
                <w:szCs w:val="16"/>
                <w:lang w:val="en-US"/>
              </w:rPr>
            </w:pPr>
            <w:r w:rsidRPr="00714ECB">
              <w:rPr>
                <w:sz w:val="16"/>
                <w:szCs w:val="16"/>
                <w:lang w:val="en-US"/>
              </w:rPr>
              <w:t>SEC_mPCI</w:t>
            </w:r>
            <w:r w:rsidR="00AA611E">
              <w:rPr>
                <w:sz w:val="16"/>
                <w:szCs w:val="16"/>
                <w:lang w:val="en-US"/>
              </w:rPr>
              <w:t>e</w:t>
            </w:r>
            <w:r w:rsidRPr="00714ECB">
              <w:rPr>
                <w:sz w:val="16"/>
                <w:szCs w:val="16"/>
                <w:lang w:val="en-US"/>
              </w:rPr>
              <w:t>_expansion_0</w:t>
            </w:r>
            <w:r>
              <w:rPr>
                <w:sz w:val="16"/>
                <w:szCs w:val="16"/>
                <w:lang w:val="en-US"/>
              </w:rPr>
              <w:t>3</w:t>
            </w:r>
          </w:p>
        </w:tc>
      </w:tr>
      <w:tr w:rsidR="00D60B1A" w:rsidRPr="006768C1" w:rsidTr="003F32CC">
        <w:trPr>
          <w:cantSplit/>
          <w:trHeight w:val="256"/>
        </w:trPr>
        <w:tc>
          <w:tcPr>
            <w:tcW w:w="3611" w:type="dxa"/>
            <w:tcBorders>
              <w:left w:val="single" w:sz="4" w:space="0" w:color="auto"/>
            </w:tcBorders>
            <w:shd w:val="clear" w:color="auto" w:fill="auto"/>
          </w:tcPr>
          <w:p w:rsidR="00D60B1A" w:rsidRDefault="00941D2A" w:rsidP="006064CF">
            <w:pPr>
              <w:suppressLineNumbers/>
              <w:suppressAutoHyphens/>
              <w:spacing w:line="360" w:lineRule="auto"/>
              <w:ind w:left="42" w:right="1" w:firstLine="89"/>
              <w:rPr>
                <w:b/>
                <w:sz w:val="16"/>
                <w:szCs w:val="16"/>
              </w:rPr>
            </w:pPr>
            <w:r>
              <w:rPr>
                <w:sz w:val="16"/>
                <w:szCs w:val="16"/>
              </w:rPr>
              <w:t>Embedded Computer</w:t>
            </w:r>
          </w:p>
        </w:tc>
        <w:tc>
          <w:tcPr>
            <w:tcW w:w="3339" w:type="dxa"/>
            <w:gridSpan w:val="2"/>
            <w:shd w:val="clear" w:color="auto" w:fill="auto"/>
            <w:tcMar>
              <w:left w:w="113" w:type="dxa"/>
            </w:tcMar>
          </w:tcPr>
          <w:p w:rsidR="00D60B1A" w:rsidRPr="00714ECB" w:rsidRDefault="00D60B1A" w:rsidP="006064CF">
            <w:pPr>
              <w:suppressLineNumbers/>
              <w:suppressAutoHyphens/>
              <w:spacing w:line="360" w:lineRule="auto"/>
              <w:ind w:left="42" w:right="1" w:firstLine="89"/>
              <w:rPr>
                <w:sz w:val="16"/>
                <w:szCs w:val="16"/>
              </w:rPr>
            </w:pPr>
          </w:p>
        </w:tc>
      </w:tr>
      <w:tr w:rsidR="006064CF" w:rsidRPr="006768C1" w:rsidTr="003F32CC">
        <w:trPr>
          <w:cantSplit/>
        </w:trPr>
        <w:tc>
          <w:tcPr>
            <w:tcW w:w="6950" w:type="dxa"/>
            <w:gridSpan w:val="3"/>
            <w:tcBorders>
              <w:left w:val="single" w:sz="4" w:space="0" w:color="auto"/>
            </w:tcBorders>
            <w:shd w:val="clear" w:color="auto" w:fill="auto"/>
          </w:tcPr>
          <w:p w:rsidR="006064CF" w:rsidRPr="006768C1" w:rsidRDefault="00231133" w:rsidP="00231133">
            <w:pPr>
              <w:suppressLineNumbers/>
              <w:tabs>
                <w:tab w:val="left" w:pos="4392"/>
              </w:tabs>
              <w:suppressAutoHyphens/>
              <w:ind w:left="43" w:right="1" w:firstLine="86"/>
              <w:rPr>
                <w:b/>
                <w:sz w:val="16"/>
                <w:szCs w:val="16"/>
              </w:rPr>
            </w:pPr>
            <w:r>
              <w:rPr>
                <w:b/>
                <w:sz w:val="16"/>
                <w:szCs w:val="16"/>
              </w:rPr>
              <w:tab/>
            </w:r>
          </w:p>
        </w:tc>
      </w:tr>
      <w:tr w:rsidR="006064CF" w:rsidRPr="006768C1" w:rsidTr="003F32CC">
        <w:trPr>
          <w:cantSplit/>
        </w:trPr>
        <w:tc>
          <w:tcPr>
            <w:tcW w:w="6950" w:type="dxa"/>
            <w:gridSpan w:val="3"/>
            <w:tcBorders>
              <w:left w:val="single" w:sz="4" w:space="0" w:color="auto"/>
            </w:tcBorders>
            <w:shd w:val="clear" w:color="auto" w:fill="auto"/>
          </w:tcPr>
          <w:p w:rsidR="006064CF" w:rsidRPr="0096589B" w:rsidRDefault="006064CF" w:rsidP="006064CF">
            <w:pPr>
              <w:suppressLineNumbers/>
              <w:suppressAutoHyphens/>
              <w:spacing w:line="360" w:lineRule="auto"/>
              <w:ind w:left="43" w:right="1" w:firstLine="86"/>
              <w:rPr>
                <w:b/>
                <w:sz w:val="16"/>
                <w:szCs w:val="16"/>
              </w:rPr>
            </w:pPr>
            <w:r w:rsidRPr="0096589B">
              <w:rPr>
                <w:b/>
                <w:sz w:val="16"/>
                <w:szCs w:val="16"/>
              </w:rPr>
              <w:lastRenderedPageBreak/>
              <w:t xml:space="preserve">Über </w:t>
            </w:r>
            <w:r w:rsidR="00140B59">
              <w:rPr>
                <w:b/>
                <w:sz w:val="16"/>
                <w:szCs w:val="16"/>
              </w:rPr>
              <w:t>ADL Embedded Solutions</w:t>
            </w:r>
            <w:r w:rsidRPr="0096589B">
              <w:rPr>
                <w:b/>
                <w:sz w:val="16"/>
                <w:szCs w:val="16"/>
              </w:rPr>
              <w:t>:</w:t>
            </w:r>
          </w:p>
        </w:tc>
      </w:tr>
      <w:tr w:rsidR="006064CF" w:rsidRPr="006768C1" w:rsidTr="003F32CC">
        <w:trPr>
          <w:cantSplit/>
          <w:trHeight w:val="351"/>
        </w:trPr>
        <w:tc>
          <w:tcPr>
            <w:tcW w:w="6950" w:type="dxa"/>
            <w:gridSpan w:val="3"/>
            <w:vMerge w:val="restart"/>
            <w:tcBorders>
              <w:left w:val="single" w:sz="4" w:space="0" w:color="auto"/>
            </w:tcBorders>
            <w:shd w:val="clear" w:color="auto" w:fill="auto"/>
          </w:tcPr>
          <w:p w:rsidR="006064CF" w:rsidRPr="006768C1" w:rsidRDefault="00DC6D80" w:rsidP="001C746B">
            <w:pPr>
              <w:suppressLineNumbers/>
              <w:suppressAutoHyphens/>
              <w:ind w:left="130"/>
              <w:jc w:val="both"/>
              <w:rPr>
                <w:sz w:val="16"/>
                <w:szCs w:val="16"/>
              </w:rPr>
            </w:pPr>
            <w:r>
              <w:rPr>
                <w:sz w:val="16"/>
                <w:szCs w:val="16"/>
              </w:rPr>
              <w:t>V</w:t>
            </w:r>
            <w:r w:rsidRPr="00E900B4">
              <w:rPr>
                <w:sz w:val="16"/>
                <w:szCs w:val="16"/>
              </w:rPr>
              <w:t>on industriellen Singleboard-Computern bis zu schlüsselfertigen IPC-</w:t>
            </w:r>
            <w:r>
              <w:rPr>
                <w:sz w:val="16"/>
                <w:szCs w:val="16"/>
              </w:rPr>
              <w:t xml:space="preserve">Systemen gestaltet </w:t>
            </w:r>
            <w:r w:rsidRPr="00140B59">
              <w:rPr>
                <w:sz w:val="16"/>
                <w:szCs w:val="16"/>
              </w:rPr>
              <w:t>ADL Embedded Solutions GmbH</w:t>
            </w:r>
            <w:r>
              <w:rPr>
                <w:sz w:val="16"/>
                <w:szCs w:val="16"/>
              </w:rPr>
              <w:t xml:space="preserve"> Lösungen für jede Kundenanforderung. Sowohl Standardprodukte als auch komplett individuelle Varianten werden bedarfsgerecht in kleinen, mittleren oder großen Stückzahlen in Deutschland hergestellt. Ein schnell erreichbares deutsches Design-Team mit über 30 Jahren Erfahrung kann Kunden direkt bei eigenen Entwicklungen unterstützen und auf Wunsch beliebig intensiv begleiten. Alle von ADL verwendeten Komponenten bieten zeitgemäße Performance, werden aber vor allem nach höchster industrieller Güte </w:t>
            </w:r>
            <w:r w:rsidR="00240F53">
              <w:rPr>
                <w:sz w:val="16"/>
                <w:szCs w:val="16"/>
              </w:rPr>
              <w:t xml:space="preserve">und mit Blick auf </w:t>
            </w:r>
            <w:r>
              <w:rPr>
                <w:sz w:val="16"/>
                <w:szCs w:val="16"/>
              </w:rPr>
              <w:t xml:space="preserve">die Verwendung in rauen Umgebungsbedingungen ausgewählt. </w:t>
            </w:r>
            <w:r w:rsidR="00240F53">
              <w:rPr>
                <w:sz w:val="16"/>
                <w:szCs w:val="16"/>
              </w:rPr>
              <w:t>A</w:t>
            </w:r>
            <w:r>
              <w:rPr>
                <w:sz w:val="16"/>
                <w:szCs w:val="16"/>
              </w:rPr>
              <w:t>uch maßgeschneiderte Kühl- und Gehäusekonzepte für den Einsatz auf engstem Raum</w:t>
            </w:r>
            <w:r w:rsidR="00240F53">
              <w:rPr>
                <w:sz w:val="16"/>
                <w:szCs w:val="16"/>
              </w:rPr>
              <w:t xml:space="preserve"> sind</w:t>
            </w:r>
            <w:r>
              <w:rPr>
                <w:sz w:val="16"/>
                <w:szCs w:val="16"/>
              </w:rPr>
              <w:t xml:space="preserve"> erhältlich. </w:t>
            </w:r>
            <w:r w:rsidR="00240F53">
              <w:rPr>
                <w:sz w:val="16"/>
                <w:szCs w:val="16"/>
              </w:rPr>
              <w:t xml:space="preserve">Der Embedded-Spezialist </w:t>
            </w:r>
            <w:r>
              <w:rPr>
                <w:sz w:val="16"/>
                <w:szCs w:val="16"/>
              </w:rPr>
              <w:t>setzt ausschließlich auf langzeitverfügbare Prozessoren und Chipsätze und lagert ausreichende Kontingente kritischer Bauteile ein. Dies gewährleistet zehn bis fünfzehn Jahre Verfügbarkeit für SBCs. Kunden können so die Lebensdauer installierter Systeme bis zum Doppelten der üblichen Spanne verlängern</w:t>
            </w:r>
            <w:r w:rsidR="00AC2799">
              <w:rPr>
                <w:sz w:val="16"/>
                <w:szCs w:val="16"/>
              </w:rPr>
              <w:t>.</w:t>
            </w:r>
          </w:p>
        </w:tc>
      </w:tr>
      <w:tr w:rsidR="006064CF" w:rsidRPr="006768C1" w:rsidTr="003F32CC">
        <w:trPr>
          <w:cantSplit/>
          <w:trHeight w:val="276"/>
        </w:trPr>
        <w:tc>
          <w:tcPr>
            <w:tcW w:w="6950" w:type="dxa"/>
            <w:gridSpan w:val="3"/>
            <w:vMerge/>
            <w:tcBorders>
              <w:left w:val="single" w:sz="4" w:space="0" w:color="auto"/>
            </w:tcBorders>
            <w:shd w:val="clear" w:color="auto" w:fill="auto"/>
          </w:tcPr>
          <w:p w:rsidR="006064CF" w:rsidRPr="006768C1" w:rsidRDefault="006064CF" w:rsidP="006064CF">
            <w:pPr>
              <w:suppressLineNumbers/>
              <w:suppressAutoHyphens/>
              <w:spacing w:line="360" w:lineRule="auto"/>
              <w:ind w:left="42" w:right="1" w:firstLine="89"/>
              <w:rPr>
                <w:sz w:val="16"/>
                <w:szCs w:val="16"/>
              </w:rPr>
            </w:pPr>
          </w:p>
        </w:tc>
      </w:tr>
      <w:tr w:rsidR="006064CF" w:rsidRPr="006768C1" w:rsidTr="003F32CC">
        <w:trPr>
          <w:cantSplit/>
          <w:trHeight w:val="313"/>
        </w:trPr>
        <w:tc>
          <w:tcPr>
            <w:tcW w:w="6950" w:type="dxa"/>
            <w:gridSpan w:val="3"/>
            <w:vMerge/>
            <w:tcBorders>
              <w:left w:val="single" w:sz="4" w:space="0" w:color="auto"/>
            </w:tcBorders>
            <w:shd w:val="clear" w:color="auto" w:fill="auto"/>
          </w:tcPr>
          <w:p w:rsidR="006064CF" w:rsidRPr="006768C1" w:rsidRDefault="006064CF" w:rsidP="006064CF">
            <w:pPr>
              <w:suppressLineNumbers/>
              <w:suppressAutoHyphens/>
              <w:spacing w:line="360" w:lineRule="auto"/>
              <w:ind w:left="42" w:right="1" w:firstLine="89"/>
              <w:rPr>
                <w:sz w:val="16"/>
                <w:szCs w:val="16"/>
              </w:rPr>
            </w:pPr>
          </w:p>
        </w:tc>
      </w:tr>
      <w:tr w:rsidR="006064CF" w:rsidRPr="006768C1" w:rsidTr="003F32CC">
        <w:trPr>
          <w:cantSplit/>
          <w:trHeight w:val="344"/>
        </w:trPr>
        <w:tc>
          <w:tcPr>
            <w:tcW w:w="6950" w:type="dxa"/>
            <w:gridSpan w:val="3"/>
            <w:vMerge/>
            <w:tcBorders>
              <w:left w:val="single" w:sz="4" w:space="0" w:color="auto"/>
            </w:tcBorders>
            <w:shd w:val="clear" w:color="auto" w:fill="auto"/>
          </w:tcPr>
          <w:p w:rsidR="006064CF" w:rsidRPr="006768C1" w:rsidRDefault="006064CF" w:rsidP="006064CF">
            <w:pPr>
              <w:suppressLineNumbers/>
              <w:suppressAutoHyphens/>
              <w:spacing w:line="360" w:lineRule="auto"/>
              <w:ind w:left="42" w:right="1" w:firstLine="89"/>
              <w:rPr>
                <w:sz w:val="16"/>
                <w:szCs w:val="16"/>
              </w:rPr>
            </w:pPr>
          </w:p>
        </w:tc>
      </w:tr>
      <w:tr w:rsidR="006064CF" w:rsidRPr="006768C1" w:rsidTr="003F32CC">
        <w:trPr>
          <w:cantSplit/>
          <w:trHeight w:val="57"/>
        </w:trPr>
        <w:tc>
          <w:tcPr>
            <w:tcW w:w="3690" w:type="dxa"/>
            <w:gridSpan w:val="2"/>
            <w:tcBorders>
              <w:left w:val="single" w:sz="4" w:space="0" w:color="auto"/>
            </w:tcBorders>
            <w:shd w:val="clear" w:color="auto" w:fill="auto"/>
          </w:tcPr>
          <w:p w:rsidR="006064CF" w:rsidRPr="006768C1" w:rsidRDefault="006064CF" w:rsidP="006064CF">
            <w:pPr>
              <w:suppressLineNumbers/>
              <w:suppressAutoHyphens/>
              <w:ind w:left="42" w:right="1" w:firstLine="89"/>
              <w:rPr>
                <w:sz w:val="16"/>
                <w:szCs w:val="16"/>
              </w:rPr>
            </w:pPr>
          </w:p>
        </w:tc>
        <w:tc>
          <w:tcPr>
            <w:tcW w:w="3260" w:type="dxa"/>
            <w:shd w:val="clear" w:color="auto" w:fill="auto"/>
          </w:tcPr>
          <w:p w:rsidR="006064CF" w:rsidRPr="006768C1" w:rsidRDefault="006064CF" w:rsidP="006064CF">
            <w:pPr>
              <w:suppressLineNumbers/>
              <w:suppressAutoHyphens/>
              <w:ind w:left="42" w:right="1" w:firstLine="89"/>
              <w:rPr>
                <w:sz w:val="16"/>
                <w:szCs w:val="16"/>
              </w:rPr>
            </w:pPr>
          </w:p>
        </w:tc>
      </w:tr>
      <w:tr w:rsidR="006064CF" w:rsidRPr="006768C1" w:rsidTr="003F32CC">
        <w:trPr>
          <w:cantSplit/>
          <w:trHeight w:val="57"/>
        </w:trPr>
        <w:tc>
          <w:tcPr>
            <w:tcW w:w="3690" w:type="dxa"/>
            <w:gridSpan w:val="2"/>
            <w:tcBorders>
              <w:left w:val="single" w:sz="4" w:space="0" w:color="auto"/>
            </w:tcBorders>
            <w:shd w:val="clear" w:color="auto" w:fill="auto"/>
          </w:tcPr>
          <w:p w:rsidR="006064CF" w:rsidRPr="006768C1" w:rsidRDefault="006064CF" w:rsidP="006064CF">
            <w:pPr>
              <w:suppressLineNumbers/>
              <w:suppressAutoHyphens/>
              <w:spacing w:line="360" w:lineRule="auto"/>
              <w:ind w:left="43" w:right="1" w:firstLine="86"/>
              <w:rPr>
                <w:b/>
                <w:sz w:val="16"/>
                <w:szCs w:val="16"/>
              </w:rPr>
            </w:pPr>
            <w:r w:rsidRPr="006768C1">
              <w:rPr>
                <w:b/>
                <w:sz w:val="16"/>
                <w:szCs w:val="16"/>
              </w:rPr>
              <w:t>Leser</w:t>
            </w:r>
            <w:r>
              <w:rPr>
                <w:b/>
                <w:sz w:val="16"/>
                <w:szCs w:val="16"/>
              </w:rPr>
              <w:t>kontakt</w:t>
            </w:r>
            <w:r w:rsidRPr="006768C1">
              <w:rPr>
                <w:b/>
                <w:sz w:val="16"/>
                <w:szCs w:val="16"/>
              </w:rPr>
              <w:t>:</w:t>
            </w:r>
          </w:p>
        </w:tc>
        <w:tc>
          <w:tcPr>
            <w:tcW w:w="3260" w:type="dxa"/>
            <w:shd w:val="clear" w:color="auto" w:fill="auto"/>
          </w:tcPr>
          <w:p w:rsidR="006064CF" w:rsidRPr="006768C1" w:rsidRDefault="006064CF" w:rsidP="006064CF">
            <w:pPr>
              <w:pStyle w:val="Textkrper"/>
              <w:suppressLineNumbers/>
              <w:suppressAutoHyphens/>
              <w:spacing w:line="360" w:lineRule="auto"/>
              <w:ind w:left="43" w:right="1" w:firstLine="86"/>
              <w:jc w:val="both"/>
              <w:rPr>
                <w:b/>
                <w:sz w:val="16"/>
                <w:szCs w:val="16"/>
              </w:rPr>
            </w:pPr>
            <w:r w:rsidRPr="006768C1">
              <w:rPr>
                <w:b/>
                <w:sz w:val="16"/>
                <w:szCs w:val="16"/>
              </w:rPr>
              <w:t>Pressekontakt:</w:t>
            </w:r>
          </w:p>
        </w:tc>
      </w:tr>
      <w:tr w:rsidR="006064CF" w:rsidRPr="006768C1" w:rsidTr="003F32CC">
        <w:trPr>
          <w:cantSplit/>
          <w:trHeight w:val="57"/>
        </w:trPr>
        <w:tc>
          <w:tcPr>
            <w:tcW w:w="3690" w:type="dxa"/>
            <w:gridSpan w:val="2"/>
            <w:tcBorders>
              <w:left w:val="single" w:sz="4" w:space="0" w:color="auto"/>
            </w:tcBorders>
            <w:shd w:val="clear" w:color="auto" w:fill="auto"/>
          </w:tcPr>
          <w:p w:rsidR="006064CF" w:rsidRPr="00101FF1" w:rsidRDefault="00941D2A" w:rsidP="006064CF">
            <w:pPr>
              <w:pStyle w:val="berschrift4"/>
              <w:numPr>
                <w:ilvl w:val="0"/>
                <w:numId w:val="0"/>
              </w:numPr>
              <w:suppressLineNumbers/>
              <w:suppressAutoHyphens/>
              <w:spacing w:line="360" w:lineRule="auto"/>
              <w:ind w:left="42" w:right="1" w:firstLine="89"/>
              <w:rPr>
                <w:sz w:val="16"/>
                <w:szCs w:val="16"/>
                <w:lang w:val="en-US"/>
              </w:rPr>
            </w:pPr>
            <w:r w:rsidRPr="00670F6E">
              <w:rPr>
                <w:sz w:val="16"/>
                <w:szCs w:val="16"/>
                <w:lang w:val="en-US"/>
              </w:rPr>
              <w:t>ADL Embedded Solutions GmbH</w:t>
            </w:r>
          </w:p>
          <w:p w:rsidR="00941D2A" w:rsidRPr="00941D2A" w:rsidRDefault="00941D2A" w:rsidP="00941D2A">
            <w:pPr>
              <w:pStyle w:val="Kopfzeile"/>
              <w:suppressLineNumbers/>
              <w:suppressAutoHyphens/>
              <w:ind w:left="132"/>
              <w:rPr>
                <w:sz w:val="16"/>
                <w:szCs w:val="16"/>
                <w:lang w:val="en-US"/>
              </w:rPr>
            </w:pPr>
            <w:r w:rsidRPr="00941D2A">
              <w:rPr>
                <w:sz w:val="16"/>
                <w:szCs w:val="16"/>
                <w:lang w:val="en-US"/>
              </w:rPr>
              <w:t>Björn Laupert</w:t>
            </w:r>
          </w:p>
          <w:p w:rsidR="00941D2A" w:rsidRPr="00941D2A" w:rsidRDefault="00941D2A" w:rsidP="00941D2A">
            <w:pPr>
              <w:pStyle w:val="Kopfzeile"/>
              <w:suppressLineNumbers/>
              <w:suppressAutoHyphens/>
              <w:ind w:left="132"/>
              <w:rPr>
                <w:sz w:val="16"/>
                <w:szCs w:val="16"/>
                <w:lang w:val="en-US"/>
              </w:rPr>
            </w:pPr>
            <w:r w:rsidRPr="00941D2A">
              <w:rPr>
                <w:sz w:val="16"/>
                <w:szCs w:val="16"/>
                <w:lang w:val="en-US"/>
              </w:rPr>
              <w:t>Head of Technical Sales &amp; Marketing</w:t>
            </w:r>
          </w:p>
          <w:p w:rsidR="00941D2A" w:rsidRPr="00670F6E" w:rsidRDefault="00941D2A" w:rsidP="00941D2A">
            <w:pPr>
              <w:pStyle w:val="Kopfzeile"/>
              <w:suppressLineNumbers/>
              <w:suppressAutoHyphens/>
              <w:ind w:left="132"/>
              <w:rPr>
                <w:sz w:val="16"/>
                <w:szCs w:val="16"/>
                <w:lang w:val="en-US"/>
              </w:rPr>
            </w:pPr>
          </w:p>
          <w:p w:rsidR="00941D2A" w:rsidRPr="00670F6E" w:rsidRDefault="00941D2A" w:rsidP="00941D2A">
            <w:pPr>
              <w:pStyle w:val="Kopfzeile"/>
              <w:suppressLineNumbers/>
              <w:suppressAutoHyphens/>
              <w:ind w:left="132"/>
              <w:rPr>
                <w:sz w:val="16"/>
                <w:szCs w:val="16"/>
                <w:lang w:val="en-US"/>
              </w:rPr>
            </w:pPr>
            <w:r w:rsidRPr="00670F6E">
              <w:rPr>
                <w:sz w:val="16"/>
                <w:szCs w:val="16"/>
                <w:lang w:val="en-US"/>
              </w:rPr>
              <w:t>Eiserfelder Str</w:t>
            </w:r>
            <w:r w:rsidR="00140B59" w:rsidRPr="00670F6E">
              <w:rPr>
                <w:sz w:val="16"/>
                <w:szCs w:val="16"/>
                <w:lang w:val="en-US"/>
              </w:rPr>
              <w:t xml:space="preserve">. </w:t>
            </w:r>
            <w:r w:rsidRPr="00670F6E">
              <w:rPr>
                <w:sz w:val="16"/>
                <w:szCs w:val="16"/>
                <w:lang w:val="en-US"/>
              </w:rPr>
              <w:t>316</w:t>
            </w:r>
          </w:p>
          <w:p w:rsidR="00941D2A" w:rsidRPr="00670F6E" w:rsidRDefault="00941D2A" w:rsidP="00941D2A">
            <w:pPr>
              <w:pStyle w:val="Kopfzeile"/>
              <w:suppressLineNumbers/>
              <w:suppressAutoHyphens/>
              <w:ind w:left="132"/>
              <w:rPr>
                <w:sz w:val="16"/>
                <w:szCs w:val="16"/>
              </w:rPr>
            </w:pPr>
            <w:r w:rsidRPr="00670F6E">
              <w:rPr>
                <w:sz w:val="16"/>
                <w:szCs w:val="16"/>
              </w:rPr>
              <w:t>57080 Siegen</w:t>
            </w:r>
          </w:p>
          <w:p w:rsidR="00941D2A" w:rsidRPr="00670F6E" w:rsidRDefault="00941D2A" w:rsidP="00941D2A">
            <w:pPr>
              <w:pStyle w:val="Kopfzeile"/>
              <w:suppressLineNumbers/>
              <w:suppressAutoHyphens/>
              <w:ind w:left="132"/>
              <w:rPr>
                <w:sz w:val="16"/>
                <w:szCs w:val="16"/>
              </w:rPr>
            </w:pPr>
          </w:p>
          <w:p w:rsidR="006064CF" w:rsidRPr="006768C1" w:rsidRDefault="006064CF" w:rsidP="006064CF">
            <w:pPr>
              <w:suppressLineNumbers/>
              <w:suppressAutoHyphens/>
              <w:ind w:left="132"/>
              <w:rPr>
                <w:sz w:val="16"/>
                <w:szCs w:val="16"/>
              </w:rPr>
            </w:pPr>
            <w:r w:rsidRPr="006768C1">
              <w:rPr>
                <w:sz w:val="16"/>
                <w:szCs w:val="16"/>
              </w:rPr>
              <w:t xml:space="preserve">Tel.: +49 </w:t>
            </w:r>
            <w:r w:rsidR="00941D2A" w:rsidRPr="00941D2A">
              <w:rPr>
                <w:sz w:val="16"/>
                <w:szCs w:val="16"/>
              </w:rPr>
              <w:t>271</w:t>
            </w:r>
            <w:r w:rsidRPr="006768C1">
              <w:rPr>
                <w:sz w:val="16"/>
                <w:szCs w:val="16"/>
              </w:rPr>
              <w:t xml:space="preserve"> / </w:t>
            </w:r>
            <w:r w:rsidR="00941D2A" w:rsidRPr="00941D2A">
              <w:rPr>
                <w:sz w:val="16"/>
                <w:szCs w:val="16"/>
              </w:rPr>
              <w:t>250</w:t>
            </w:r>
            <w:r w:rsidR="006839DD">
              <w:rPr>
                <w:sz w:val="16"/>
                <w:szCs w:val="16"/>
              </w:rPr>
              <w:t xml:space="preserve"> </w:t>
            </w:r>
            <w:r w:rsidR="00941D2A" w:rsidRPr="00941D2A">
              <w:rPr>
                <w:sz w:val="16"/>
                <w:szCs w:val="16"/>
              </w:rPr>
              <w:t>810-13</w:t>
            </w:r>
          </w:p>
          <w:p w:rsidR="006064CF" w:rsidRPr="00941D2A" w:rsidRDefault="006064CF" w:rsidP="006064CF">
            <w:pPr>
              <w:suppressLineNumbers/>
              <w:suppressAutoHyphens/>
              <w:ind w:left="42" w:firstLine="89"/>
              <w:jc w:val="both"/>
              <w:rPr>
                <w:sz w:val="16"/>
                <w:szCs w:val="16"/>
              </w:rPr>
            </w:pPr>
            <w:r w:rsidRPr="006768C1">
              <w:rPr>
                <w:sz w:val="16"/>
                <w:szCs w:val="16"/>
              </w:rPr>
              <w:t xml:space="preserve">E-Mail: </w:t>
            </w:r>
            <w:r w:rsidR="00941D2A" w:rsidRPr="00941D2A">
              <w:rPr>
                <w:sz w:val="16"/>
                <w:szCs w:val="16"/>
              </w:rPr>
              <w:t>bjoern.laupert@adl-europe.com</w:t>
            </w:r>
          </w:p>
          <w:p w:rsidR="006064CF" w:rsidRPr="006768C1" w:rsidRDefault="00941D2A" w:rsidP="006064CF">
            <w:pPr>
              <w:suppressLineNumbers/>
              <w:suppressAutoHyphens/>
              <w:ind w:left="42" w:firstLine="89"/>
              <w:rPr>
                <w:sz w:val="16"/>
                <w:szCs w:val="16"/>
              </w:rPr>
            </w:pPr>
            <w:r w:rsidRPr="00941D2A">
              <w:rPr>
                <w:sz w:val="16"/>
                <w:szCs w:val="16"/>
                <w:lang w:val="en-US"/>
              </w:rPr>
              <w:t>www.adl-europe.com</w:t>
            </w:r>
          </w:p>
        </w:tc>
        <w:tc>
          <w:tcPr>
            <w:tcW w:w="3260" w:type="dxa"/>
            <w:shd w:val="clear" w:color="auto" w:fill="auto"/>
          </w:tcPr>
          <w:p w:rsidR="006064CF" w:rsidRPr="006768C1" w:rsidRDefault="006064CF" w:rsidP="006064CF">
            <w:pPr>
              <w:suppressLineNumbers/>
              <w:suppressAutoHyphens/>
              <w:spacing w:line="360" w:lineRule="auto"/>
              <w:ind w:left="126" w:right="1"/>
              <w:jc w:val="both"/>
              <w:rPr>
                <w:b/>
                <w:sz w:val="16"/>
                <w:szCs w:val="16"/>
              </w:rPr>
            </w:pPr>
            <w:r w:rsidRPr="006768C1">
              <w:rPr>
                <w:b/>
                <w:sz w:val="16"/>
                <w:szCs w:val="16"/>
              </w:rPr>
              <w:t>gii die Presse-Agentur GmbH</w:t>
            </w:r>
          </w:p>
          <w:p w:rsidR="006064CF" w:rsidRPr="006768C1" w:rsidRDefault="006064CF" w:rsidP="006064CF">
            <w:pPr>
              <w:pStyle w:val="Kopfzeile"/>
              <w:suppressLineNumbers/>
              <w:tabs>
                <w:tab w:val="clear" w:pos="4536"/>
                <w:tab w:val="clear" w:pos="9072"/>
              </w:tabs>
              <w:suppressAutoHyphens/>
              <w:ind w:left="126"/>
              <w:rPr>
                <w:sz w:val="16"/>
                <w:szCs w:val="16"/>
              </w:rPr>
            </w:pPr>
            <w:r w:rsidRPr="006768C1">
              <w:rPr>
                <w:sz w:val="16"/>
                <w:szCs w:val="16"/>
              </w:rPr>
              <w:t>Imm</w:t>
            </w:r>
            <w:r>
              <w:rPr>
                <w:sz w:val="16"/>
                <w:szCs w:val="16"/>
              </w:rPr>
              <w:t>a</w:t>
            </w:r>
            <w:r w:rsidRPr="006768C1">
              <w:rPr>
                <w:sz w:val="16"/>
                <w:szCs w:val="16"/>
              </w:rPr>
              <w:t>nuelkirchstr. 12</w:t>
            </w:r>
            <w:r w:rsidRPr="006768C1">
              <w:rPr>
                <w:sz w:val="16"/>
                <w:szCs w:val="16"/>
              </w:rPr>
              <w:br/>
              <w:t xml:space="preserve">10405 Berlin </w:t>
            </w:r>
            <w:r>
              <w:rPr>
                <w:sz w:val="16"/>
                <w:szCs w:val="16"/>
              </w:rPr>
              <w:softHyphen/>
            </w:r>
          </w:p>
          <w:p w:rsidR="006064CF" w:rsidRPr="006768C1" w:rsidRDefault="00140B59" w:rsidP="006064CF">
            <w:pPr>
              <w:suppressLineNumbers/>
              <w:suppressAutoHyphens/>
              <w:ind w:left="126"/>
              <w:rPr>
                <w:sz w:val="16"/>
                <w:szCs w:val="16"/>
              </w:rPr>
            </w:pPr>
            <w:r>
              <w:rPr>
                <w:sz w:val="16"/>
                <w:szCs w:val="16"/>
              </w:rPr>
              <w:br/>
            </w:r>
            <w:r w:rsidR="006064CF" w:rsidRPr="006768C1">
              <w:rPr>
                <w:sz w:val="16"/>
                <w:szCs w:val="16"/>
              </w:rPr>
              <w:t>Tel.: +49 30</w:t>
            </w:r>
            <w:r w:rsidR="006064CF">
              <w:rPr>
                <w:sz w:val="16"/>
                <w:szCs w:val="16"/>
              </w:rPr>
              <w:t xml:space="preserve"> /</w:t>
            </w:r>
            <w:r w:rsidR="006064CF" w:rsidRPr="006768C1">
              <w:rPr>
                <w:sz w:val="16"/>
                <w:szCs w:val="16"/>
              </w:rPr>
              <w:t xml:space="preserve"> 538</w:t>
            </w:r>
            <w:r w:rsidR="006839DD">
              <w:rPr>
                <w:sz w:val="16"/>
                <w:szCs w:val="16"/>
              </w:rPr>
              <w:t xml:space="preserve"> </w:t>
            </w:r>
            <w:r w:rsidR="006064CF" w:rsidRPr="006768C1">
              <w:rPr>
                <w:sz w:val="16"/>
                <w:szCs w:val="16"/>
              </w:rPr>
              <w:t>965-0</w:t>
            </w:r>
          </w:p>
          <w:p w:rsidR="006064CF" w:rsidRPr="006768C1" w:rsidRDefault="006064CF" w:rsidP="006064CF">
            <w:pPr>
              <w:suppressLineNumbers/>
              <w:suppressAutoHyphens/>
              <w:ind w:left="42" w:firstLine="89"/>
              <w:jc w:val="both"/>
              <w:rPr>
                <w:sz w:val="16"/>
                <w:szCs w:val="16"/>
              </w:rPr>
            </w:pPr>
            <w:r w:rsidRPr="006768C1">
              <w:rPr>
                <w:sz w:val="16"/>
                <w:szCs w:val="16"/>
              </w:rPr>
              <w:t>E-Mail: info@gii.de</w:t>
            </w:r>
          </w:p>
          <w:p w:rsidR="006064CF" w:rsidRPr="006768C1" w:rsidRDefault="006064CF" w:rsidP="006064CF">
            <w:pPr>
              <w:suppressLineNumbers/>
              <w:suppressAutoHyphens/>
              <w:ind w:left="42" w:firstLine="89"/>
              <w:rPr>
                <w:sz w:val="16"/>
                <w:szCs w:val="16"/>
              </w:rPr>
            </w:pPr>
            <w:r w:rsidRPr="006768C1">
              <w:rPr>
                <w:sz w:val="16"/>
                <w:szCs w:val="16"/>
              </w:rPr>
              <w:t>www.gii.de</w:t>
            </w:r>
          </w:p>
        </w:tc>
      </w:tr>
    </w:tbl>
    <w:p w:rsidR="00EF7F9F" w:rsidRPr="006768C1" w:rsidRDefault="00EF7F9F" w:rsidP="006577F5">
      <w:pPr>
        <w:suppressLineNumbers/>
        <w:suppressAutoHyphens/>
        <w:ind w:right="1"/>
        <w:rPr>
          <w:sz w:val="16"/>
          <w:szCs w:val="16"/>
        </w:rPr>
      </w:pPr>
    </w:p>
    <w:sectPr w:rsidR="00EF7F9F" w:rsidRPr="006768C1" w:rsidSect="00EF7F9F">
      <w:headerReference w:type="even" r:id="rId15"/>
      <w:headerReference w:type="default" r:id="rId16"/>
      <w:footerReference w:type="even" r:id="rId17"/>
      <w:footerReference w:type="default" r:id="rId18"/>
      <w:headerReference w:type="first" r:id="rId19"/>
      <w:footerReference w:type="first" r:id="rId20"/>
      <w:pgSz w:w="11906" w:h="16838"/>
      <w:pgMar w:top="2606" w:right="3269" w:bottom="1526" w:left="1526" w:header="720" w:footer="124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CF5" w:rsidRDefault="00E95CF5">
      <w:r>
        <w:separator/>
      </w:r>
    </w:p>
  </w:endnote>
  <w:endnote w:type="continuationSeparator" w:id="0">
    <w:p w:rsidR="00E95CF5" w:rsidRDefault="00E9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altName w:val="Arial"/>
    <w:panose1 w:val="020B0604020202020204"/>
    <w:charset w:val="00"/>
    <w:family w:val="swiss"/>
    <w:pitch w:val="variable"/>
    <w:sig w:usb0="00000007" w:usb1="00000000" w:usb2="00000000" w:usb3="00000000" w:csb0="00000093" w:csb1="00000000"/>
  </w:font>
  <w:font w:name="Liberation Sans">
    <w:altName w:val="Arial"/>
    <w:charset w:val="01"/>
    <w:family w:val="swiss"/>
    <w:pitch w:val="variable"/>
  </w:font>
  <w:font w:name="Droid Sans Fallback">
    <w:charset w:val="01"/>
    <w:family w:val="auto"/>
    <w:pitch w:val="variable"/>
  </w:font>
  <w:font w:name="Noto Sans Devanagari">
    <w:altName w:val="Calibri"/>
    <w:charset w:val="01"/>
    <w:family w:val="auto"/>
    <w:pitch w:val="variable"/>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73" w:rsidRDefault="00D22C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310" w:rsidRPr="00936A42" w:rsidRDefault="00670F6E" w:rsidP="00EF7F9F">
    <w:pPr>
      <w:pStyle w:val="Fuzeile"/>
      <w:tabs>
        <w:tab w:val="clear" w:pos="4536"/>
        <w:tab w:val="clear" w:pos="9072"/>
      </w:tabs>
      <w:jc w:val="right"/>
      <w:rPr>
        <w:sz w:val="16"/>
        <w:szCs w:val="16"/>
      </w:rPr>
    </w:pPr>
    <w:r>
      <w:rPr>
        <w:sz w:val="16"/>
        <w:szCs w:val="16"/>
      </w:rPr>
      <w:t xml:space="preserve">WLAN, Bluetooth und andere Erweiterungsoptionen </w:t>
    </w:r>
    <w:r w:rsidRPr="00936A42">
      <w:rPr>
        <w:sz w:val="16"/>
        <w:szCs w:val="16"/>
      </w:rPr>
      <w:t xml:space="preserve">für Embedded Computer </w:t>
    </w:r>
    <w:r w:rsidR="00EF7F9F" w:rsidRPr="00936A42">
      <w:rPr>
        <w:sz w:val="16"/>
        <w:szCs w:val="16"/>
      </w:rPr>
      <w:t xml:space="preserve">∙ Seite </w:t>
    </w:r>
    <w:r w:rsidR="00EF7F9F" w:rsidRPr="00936A42">
      <w:rPr>
        <w:bCs/>
        <w:sz w:val="16"/>
        <w:szCs w:val="16"/>
      </w:rPr>
      <w:fldChar w:fldCharType="begin"/>
    </w:r>
    <w:r w:rsidR="00EF7F9F" w:rsidRPr="00936A42">
      <w:rPr>
        <w:bCs/>
        <w:sz w:val="16"/>
        <w:szCs w:val="16"/>
      </w:rPr>
      <w:instrText>PAGE  \* Arabic  \* MERGEFORMAT</w:instrText>
    </w:r>
    <w:r w:rsidR="00EF7F9F" w:rsidRPr="00936A42">
      <w:rPr>
        <w:bCs/>
        <w:sz w:val="16"/>
        <w:szCs w:val="16"/>
      </w:rPr>
      <w:fldChar w:fldCharType="separate"/>
    </w:r>
    <w:r w:rsidR="00EF7F9F" w:rsidRPr="00936A42">
      <w:rPr>
        <w:bCs/>
        <w:sz w:val="16"/>
        <w:szCs w:val="16"/>
      </w:rPr>
      <w:t>2</w:t>
    </w:r>
    <w:r w:rsidR="00EF7F9F" w:rsidRPr="00936A42">
      <w:rPr>
        <w:bCs/>
        <w:sz w:val="16"/>
        <w:szCs w:val="16"/>
      </w:rPr>
      <w:fldChar w:fldCharType="end"/>
    </w:r>
    <w:r w:rsidR="00EF7F9F" w:rsidRPr="00936A42">
      <w:rPr>
        <w:sz w:val="16"/>
        <w:szCs w:val="16"/>
      </w:rPr>
      <w:t xml:space="preserve"> / </w:t>
    </w:r>
    <w:r w:rsidR="00EF7F9F" w:rsidRPr="00936A42">
      <w:rPr>
        <w:bCs/>
        <w:sz w:val="16"/>
        <w:szCs w:val="16"/>
      </w:rPr>
      <w:fldChar w:fldCharType="begin"/>
    </w:r>
    <w:r w:rsidR="00EF7F9F" w:rsidRPr="00936A42">
      <w:rPr>
        <w:bCs/>
        <w:sz w:val="16"/>
        <w:szCs w:val="16"/>
      </w:rPr>
      <w:instrText>NUMPAGES  \* Arabic  \* MERGEFORMAT</w:instrText>
    </w:r>
    <w:r w:rsidR="00EF7F9F" w:rsidRPr="00936A42">
      <w:rPr>
        <w:bCs/>
        <w:sz w:val="16"/>
        <w:szCs w:val="16"/>
      </w:rPr>
      <w:fldChar w:fldCharType="separate"/>
    </w:r>
    <w:r w:rsidR="00EF7F9F" w:rsidRPr="00936A42">
      <w:rPr>
        <w:bCs/>
        <w:sz w:val="16"/>
        <w:szCs w:val="16"/>
      </w:rPr>
      <w:t>2</w:t>
    </w:r>
    <w:r w:rsidR="00EF7F9F" w:rsidRPr="00936A42">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310" w:rsidRDefault="00CD6310">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CF5" w:rsidRDefault="00E95CF5">
      <w:r>
        <w:separator/>
      </w:r>
    </w:p>
  </w:footnote>
  <w:footnote w:type="continuationSeparator" w:id="0">
    <w:p w:rsidR="00E95CF5" w:rsidRDefault="00E9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73" w:rsidRDefault="00D22C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55" w:rsidRDefault="00EC2655" w:rsidP="00EC2655">
    <w:pPr>
      <w:pStyle w:val="Kopfzeile"/>
      <w:tabs>
        <w:tab w:val="clear" w:pos="4536"/>
        <w:tab w:val="clear" w:pos="9072"/>
      </w:tabs>
      <w:suppressAutoHyphens/>
      <w:rPr>
        <w:sz w:val="18"/>
      </w:rPr>
    </w:pPr>
  </w:p>
  <w:p w:rsidR="00EC2655" w:rsidRDefault="00941D2A" w:rsidP="00EC2655">
    <w:pPr>
      <w:pStyle w:val="Kopfzeile"/>
      <w:tabs>
        <w:tab w:val="clear" w:pos="4536"/>
        <w:tab w:val="clear" w:pos="9072"/>
      </w:tabs>
      <w:suppressAutoHyphens/>
      <w:ind w:right="1"/>
      <w:rPr>
        <w:sz w:val="18"/>
      </w:rPr>
    </w:pPr>
    <w:r>
      <w:rPr>
        <w:noProof/>
        <w:sz w:val="18"/>
      </w:rPr>
      <w:drawing>
        <wp:inline distT="0" distB="0" distL="0" distR="0" wp14:anchorId="5480C66E" wp14:editId="6B493BB5">
          <wp:extent cx="2381250" cy="5810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dl-europe-smarter-by-design.png"/>
                  <pic:cNvPicPr/>
                </pic:nvPicPr>
                <pic:blipFill>
                  <a:blip r:embed="rId1">
                    <a:extLst>
                      <a:ext uri="{28A0092B-C50C-407E-A947-70E740481C1C}">
                        <a14:useLocalDpi xmlns:a14="http://schemas.microsoft.com/office/drawing/2010/main" val="0"/>
                      </a:ext>
                    </a:extLst>
                  </a:blip>
                  <a:stretch>
                    <a:fillRect/>
                  </a:stretch>
                </pic:blipFill>
                <pic:spPr>
                  <a:xfrm>
                    <a:off x="0" y="0"/>
                    <a:ext cx="2381250" cy="581025"/>
                  </a:xfrm>
                  <a:prstGeom prst="rect">
                    <a:avLst/>
                  </a:prstGeom>
                </pic:spPr>
              </pic:pic>
            </a:graphicData>
          </a:graphic>
        </wp:inline>
      </w:drawing>
    </w:r>
  </w:p>
  <w:p w:rsidR="00C45980" w:rsidRPr="0093618B" w:rsidRDefault="00C45980" w:rsidP="00C45980">
    <w:pPr>
      <w:pStyle w:val="Kopfzeile"/>
      <w:tabs>
        <w:tab w:val="clear" w:pos="4536"/>
        <w:tab w:val="clear" w:pos="9072"/>
      </w:tabs>
      <w:jc w:val="center"/>
      <w:rPr>
        <w:color w:val="000000"/>
        <w:sz w:val="2"/>
        <w:lang w:eastAsia="en-US"/>
      </w:rPr>
    </w:pPr>
  </w:p>
  <w:p w:rsidR="009C3A2D" w:rsidRPr="0093618B" w:rsidRDefault="009C3A2D" w:rsidP="00C45980">
    <w:pPr>
      <w:pStyle w:val="Kopfzeile"/>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9AC" w:rsidRDefault="00941D2A" w:rsidP="00CD39AC">
    <w:pPr>
      <w:pStyle w:val="Kopfzeile"/>
      <w:tabs>
        <w:tab w:val="clear" w:pos="4536"/>
        <w:tab w:val="clear" w:pos="9072"/>
      </w:tabs>
      <w:suppressAutoHyphens/>
      <w:rPr>
        <w:sz w:val="18"/>
      </w:rPr>
    </w:pPr>
    <w:r>
      <w:rPr>
        <w:noProof/>
        <w:sz w:val="18"/>
      </w:rPr>
      <w:drawing>
        <wp:inline distT="0" distB="0" distL="0" distR="0">
          <wp:extent cx="2381250" cy="5810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dl-europe-smarter-by-design.png"/>
                  <pic:cNvPicPr/>
                </pic:nvPicPr>
                <pic:blipFill>
                  <a:blip r:embed="rId1">
                    <a:extLst>
                      <a:ext uri="{28A0092B-C50C-407E-A947-70E740481C1C}">
                        <a14:useLocalDpi xmlns:a14="http://schemas.microsoft.com/office/drawing/2010/main" val="0"/>
                      </a:ext>
                    </a:extLst>
                  </a:blip>
                  <a:stretch>
                    <a:fillRect/>
                  </a:stretch>
                </pic:blipFill>
                <pic:spPr>
                  <a:xfrm>
                    <a:off x="0" y="0"/>
                    <a:ext cx="2381250" cy="581025"/>
                  </a:xfrm>
                  <a:prstGeom prst="rect">
                    <a:avLst/>
                  </a:prstGeom>
                </pic:spPr>
              </pic:pic>
            </a:graphicData>
          </a:graphic>
        </wp:inline>
      </w:drawing>
    </w:r>
  </w:p>
  <w:p w:rsidR="00CD39AC" w:rsidRDefault="00CD39AC" w:rsidP="00CD39AC">
    <w:pPr>
      <w:pStyle w:val="Kopfzeile"/>
      <w:tabs>
        <w:tab w:val="clear" w:pos="4536"/>
        <w:tab w:val="clear" w:pos="9072"/>
      </w:tabs>
      <w:suppressAutoHyphens/>
      <w:ind w:right="1"/>
      <w:rPr>
        <w:sz w:val="18"/>
      </w:rPr>
    </w:pPr>
  </w:p>
  <w:p w:rsidR="00923576" w:rsidRDefault="00F42322" w:rsidP="00F42322">
    <w:pPr>
      <w:pStyle w:val="Kopfzeile"/>
      <w:tabs>
        <w:tab w:val="clear" w:pos="4536"/>
        <w:tab w:val="clear" w:pos="9072"/>
        <w:tab w:val="left" w:pos="2220"/>
      </w:tabs>
      <w:suppressAutoHyphens/>
      <w:ind w:left="709" w:hanging="709"/>
      <w:rPr>
        <w:sz w:val="18"/>
      </w:rPr>
    </w:pPr>
    <w:r>
      <w:rPr>
        <w:sz w:val="18"/>
      </w:rPr>
      <w:tab/>
    </w:r>
    <w:r>
      <w:rPr>
        <w:sz w:val="18"/>
      </w:rPr>
      <w:tab/>
    </w:r>
  </w:p>
  <w:p w:rsidR="00CD6310" w:rsidRDefault="00CD6310">
    <w:pPr>
      <w:pStyle w:val="Kopfzeile"/>
      <w:tabs>
        <w:tab w:val="clear" w:pos="4536"/>
        <w:tab w:val="clear" w:pos="9072"/>
      </w:tabs>
      <w:rPr>
        <w:sz w:val="2"/>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821F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C22A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6E4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5A9C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0C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CE57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509C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BAC0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E73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72FF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b/>
        <w:color w:val="FF0000"/>
      </w:rPr>
    </w:lvl>
  </w:abstractNum>
  <w:abstractNum w:abstractNumId="12" w15:restartNumberingAfterBreak="0">
    <w:nsid w:val="1A317BA8"/>
    <w:multiLevelType w:val="hybridMultilevel"/>
    <w:tmpl w:val="D274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C5306"/>
    <w:multiLevelType w:val="hybridMultilevel"/>
    <w:tmpl w:val="0AE06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CE3045"/>
    <w:multiLevelType w:val="hybridMultilevel"/>
    <w:tmpl w:val="F5DA393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D918FC"/>
    <w:multiLevelType w:val="hybridMultilevel"/>
    <w:tmpl w:val="BA9E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15"/>
  </w:num>
  <w:num w:numId="6">
    <w:abstractNumId w:val="13"/>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D0"/>
    <w:rsid w:val="00014EC7"/>
    <w:rsid w:val="00015B5D"/>
    <w:rsid w:val="00037F6F"/>
    <w:rsid w:val="0005638D"/>
    <w:rsid w:val="00062D85"/>
    <w:rsid w:val="00065DFF"/>
    <w:rsid w:val="00067127"/>
    <w:rsid w:val="00074F13"/>
    <w:rsid w:val="00075DDE"/>
    <w:rsid w:val="00090AE2"/>
    <w:rsid w:val="00096EF7"/>
    <w:rsid w:val="000977A8"/>
    <w:rsid w:val="000A2A72"/>
    <w:rsid w:val="000B6C39"/>
    <w:rsid w:val="000C05CB"/>
    <w:rsid w:val="000C14A2"/>
    <w:rsid w:val="000C190A"/>
    <w:rsid w:val="000C1A38"/>
    <w:rsid w:val="000D017D"/>
    <w:rsid w:val="000D6925"/>
    <w:rsid w:val="000E4643"/>
    <w:rsid w:val="00101FF1"/>
    <w:rsid w:val="00102D97"/>
    <w:rsid w:val="0010350A"/>
    <w:rsid w:val="00103D31"/>
    <w:rsid w:val="001066AA"/>
    <w:rsid w:val="001165CE"/>
    <w:rsid w:val="0012035E"/>
    <w:rsid w:val="0012709B"/>
    <w:rsid w:val="00140B59"/>
    <w:rsid w:val="00141CAC"/>
    <w:rsid w:val="00144552"/>
    <w:rsid w:val="001475A0"/>
    <w:rsid w:val="00160B1B"/>
    <w:rsid w:val="00183C4C"/>
    <w:rsid w:val="00185CAC"/>
    <w:rsid w:val="00197630"/>
    <w:rsid w:val="001C746B"/>
    <w:rsid w:val="001D5C68"/>
    <w:rsid w:val="001D68BA"/>
    <w:rsid w:val="001D6954"/>
    <w:rsid w:val="001D7F3A"/>
    <w:rsid w:val="001E6AF4"/>
    <w:rsid w:val="001F037A"/>
    <w:rsid w:val="00210338"/>
    <w:rsid w:val="00215DC6"/>
    <w:rsid w:val="00221366"/>
    <w:rsid w:val="0022290E"/>
    <w:rsid w:val="00231133"/>
    <w:rsid w:val="00240F53"/>
    <w:rsid w:val="00245FE7"/>
    <w:rsid w:val="002535AF"/>
    <w:rsid w:val="00257A97"/>
    <w:rsid w:val="00264E2B"/>
    <w:rsid w:val="002666AE"/>
    <w:rsid w:val="00274D67"/>
    <w:rsid w:val="00275486"/>
    <w:rsid w:val="002A32B3"/>
    <w:rsid w:val="002A440E"/>
    <w:rsid w:val="002A57D3"/>
    <w:rsid w:val="002B02A1"/>
    <w:rsid w:val="002C2402"/>
    <w:rsid w:val="002D2616"/>
    <w:rsid w:val="002F6E5C"/>
    <w:rsid w:val="00301826"/>
    <w:rsid w:val="00317C80"/>
    <w:rsid w:val="00325BA4"/>
    <w:rsid w:val="0033036B"/>
    <w:rsid w:val="00332597"/>
    <w:rsid w:val="00351643"/>
    <w:rsid w:val="0035615D"/>
    <w:rsid w:val="00356447"/>
    <w:rsid w:val="00360AC9"/>
    <w:rsid w:val="00371503"/>
    <w:rsid w:val="0037278E"/>
    <w:rsid w:val="003801CA"/>
    <w:rsid w:val="003902D7"/>
    <w:rsid w:val="003A6B69"/>
    <w:rsid w:val="003D0B19"/>
    <w:rsid w:val="003D1217"/>
    <w:rsid w:val="003E6618"/>
    <w:rsid w:val="003F32CC"/>
    <w:rsid w:val="00400FC5"/>
    <w:rsid w:val="00455887"/>
    <w:rsid w:val="00465271"/>
    <w:rsid w:val="00476AE0"/>
    <w:rsid w:val="0048651D"/>
    <w:rsid w:val="004879C6"/>
    <w:rsid w:val="00495BED"/>
    <w:rsid w:val="004B6029"/>
    <w:rsid w:val="004D455D"/>
    <w:rsid w:val="004D63CB"/>
    <w:rsid w:val="004D6FDC"/>
    <w:rsid w:val="004E1539"/>
    <w:rsid w:val="004E7641"/>
    <w:rsid w:val="004F75CA"/>
    <w:rsid w:val="005048AA"/>
    <w:rsid w:val="00510047"/>
    <w:rsid w:val="005152AE"/>
    <w:rsid w:val="00523369"/>
    <w:rsid w:val="0054242D"/>
    <w:rsid w:val="00574E12"/>
    <w:rsid w:val="00577E84"/>
    <w:rsid w:val="00580562"/>
    <w:rsid w:val="00585743"/>
    <w:rsid w:val="005927F7"/>
    <w:rsid w:val="005C725A"/>
    <w:rsid w:val="005D0E9D"/>
    <w:rsid w:val="005D150F"/>
    <w:rsid w:val="005D61AD"/>
    <w:rsid w:val="005D65B8"/>
    <w:rsid w:val="005E0AD8"/>
    <w:rsid w:val="005E59B3"/>
    <w:rsid w:val="005F6886"/>
    <w:rsid w:val="00601AA6"/>
    <w:rsid w:val="00603158"/>
    <w:rsid w:val="006064CF"/>
    <w:rsid w:val="00607FE1"/>
    <w:rsid w:val="00616ED5"/>
    <w:rsid w:val="0062360E"/>
    <w:rsid w:val="006309FF"/>
    <w:rsid w:val="006340B4"/>
    <w:rsid w:val="00643C0D"/>
    <w:rsid w:val="00644A3C"/>
    <w:rsid w:val="006577F5"/>
    <w:rsid w:val="00670F6E"/>
    <w:rsid w:val="006768C1"/>
    <w:rsid w:val="006839DD"/>
    <w:rsid w:val="00697F24"/>
    <w:rsid w:val="006A250B"/>
    <w:rsid w:val="006A39CD"/>
    <w:rsid w:val="006B116D"/>
    <w:rsid w:val="006B5BCC"/>
    <w:rsid w:val="006C0E5B"/>
    <w:rsid w:val="006C3ECB"/>
    <w:rsid w:val="006D0BBE"/>
    <w:rsid w:val="006E1CC4"/>
    <w:rsid w:val="006E22E6"/>
    <w:rsid w:val="006E2CEA"/>
    <w:rsid w:val="006E56FF"/>
    <w:rsid w:val="006F127F"/>
    <w:rsid w:val="006F2EA7"/>
    <w:rsid w:val="007126A9"/>
    <w:rsid w:val="00714ECB"/>
    <w:rsid w:val="00730229"/>
    <w:rsid w:val="007338A7"/>
    <w:rsid w:val="00747060"/>
    <w:rsid w:val="00750C6C"/>
    <w:rsid w:val="00754BAC"/>
    <w:rsid w:val="00760218"/>
    <w:rsid w:val="0076289B"/>
    <w:rsid w:val="00770006"/>
    <w:rsid w:val="007733B3"/>
    <w:rsid w:val="00776C89"/>
    <w:rsid w:val="00784A78"/>
    <w:rsid w:val="00786738"/>
    <w:rsid w:val="00786C0A"/>
    <w:rsid w:val="00793B20"/>
    <w:rsid w:val="00795B90"/>
    <w:rsid w:val="00797196"/>
    <w:rsid w:val="007B3D5F"/>
    <w:rsid w:val="007B51A8"/>
    <w:rsid w:val="007B64F3"/>
    <w:rsid w:val="007C1FDE"/>
    <w:rsid w:val="007E3FCE"/>
    <w:rsid w:val="007E43B0"/>
    <w:rsid w:val="007E64F2"/>
    <w:rsid w:val="007F0E21"/>
    <w:rsid w:val="007F0FDB"/>
    <w:rsid w:val="007F1D8D"/>
    <w:rsid w:val="008203E7"/>
    <w:rsid w:val="00820FB1"/>
    <w:rsid w:val="00837004"/>
    <w:rsid w:val="00877EDA"/>
    <w:rsid w:val="00896F61"/>
    <w:rsid w:val="008A3D79"/>
    <w:rsid w:val="008A64F7"/>
    <w:rsid w:val="008A685B"/>
    <w:rsid w:val="008A79BF"/>
    <w:rsid w:val="008A7BAC"/>
    <w:rsid w:val="008C2774"/>
    <w:rsid w:val="008D3C85"/>
    <w:rsid w:val="008D69E9"/>
    <w:rsid w:val="008E0808"/>
    <w:rsid w:val="008E28EC"/>
    <w:rsid w:val="008E709E"/>
    <w:rsid w:val="008E7A56"/>
    <w:rsid w:val="008F08A3"/>
    <w:rsid w:val="008F2FAF"/>
    <w:rsid w:val="00906B4D"/>
    <w:rsid w:val="00923576"/>
    <w:rsid w:val="009304F2"/>
    <w:rsid w:val="009318BF"/>
    <w:rsid w:val="0093618B"/>
    <w:rsid w:val="00936A42"/>
    <w:rsid w:val="00941D2A"/>
    <w:rsid w:val="00944367"/>
    <w:rsid w:val="00946F2E"/>
    <w:rsid w:val="009557C1"/>
    <w:rsid w:val="00957D5F"/>
    <w:rsid w:val="009617DB"/>
    <w:rsid w:val="0096589B"/>
    <w:rsid w:val="00970C02"/>
    <w:rsid w:val="00975530"/>
    <w:rsid w:val="009841F2"/>
    <w:rsid w:val="0099454E"/>
    <w:rsid w:val="009B32E1"/>
    <w:rsid w:val="009B6090"/>
    <w:rsid w:val="009C0820"/>
    <w:rsid w:val="009C3A2D"/>
    <w:rsid w:val="009C7ED5"/>
    <w:rsid w:val="009E1EB2"/>
    <w:rsid w:val="009F25D5"/>
    <w:rsid w:val="009F7F73"/>
    <w:rsid w:val="00A06B4D"/>
    <w:rsid w:val="00A10880"/>
    <w:rsid w:val="00A216F2"/>
    <w:rsid w:val="00A34E4A"/>
    <w:rsid w:val="00A36D58"/>
    <w:rsid w:val="00A379F8"/>
    <w:rsid w:val="00A47E2B"/>
    <w:rsid w:val="00A51B39"/>
    <w:rsid w:val="00A52209"/>
    <w:rsid w:val="00A61190"/>
    <w:rsid w:val="00A80B2E"/>
    <w:rsid w:val="00A926CD"/>
    <w:rsid w:val="00A93397"/>
    <w:rsid w:val="00AA0C4F"/>
    <w:rsid w:val="00AA611E"/>
    <w:rsid w:val="00AB304F"/>
    <w:rsid w:val="00AB660E"/>
    <w:rsid w:val="00AB6BA3"/>
    <w:rsid w:val="00AC2799"/>
    <w:rsid w:val="00AE1CCF"/>
    <w:rsid w:val="00AF093B"/>
    <w:rsid w:val="00B05026"/>
    <w:rsid w:val="00B218DD"/>
    <w:rsid w:val="00B249A6"/>
    <w:rsid w:val="00B362C9"/>
    <w:rsid w:val="00B367B3"/>
    <w:rsid w:val="00B37772"/>
    <w:rsid w:val="00B464A3"/>
    <w:rsid w:val="00B53ED8"/>
    <w:rsid w:val="00B63F70"/>
    <w:rsid w:val="00B657CD"/>
    <w:rsid w:val="00B67E76"/>
    <w:rsid w:val="00B84F3F"/>
    <w:rsid w:val="00B96BB8"/>
    <w:rsid w:val="00BA2839"/>
    <w:rsid w:val="00BD611A"/>
    <w:rsid w:val="00BD7E51"/>
    <w:rsid w:val="00BF1144"/>
    <w:rsid w:val="00BF2F3A"/>
    <w:rsid w:val="00BF3C2F"/>
    <w:rsid w:val="00C12CDB"/>
    <w:rsid w:val="00C15578"/>
    <w:rsid w:val="00C252B1"/>
    <w:rsid w:val="00C31827"/>
    <w:rsid w:val="00C32DB4"/>
    <w:rsid w:val="00C44664"/>
    <w:rsid w:val="00C45980"/>
    <w:rsid w:val="00C538E7"/>
    <w:rsid w:val="00C57343"/>
    <w:rsid w:val="00C61536"/>
    <w:rsid w:val="00C64ADF"/>
    <w:rsid w:val="00C71D63"/>
    <w:rsid w:val="00C83A67"/>
    <w:rsid w:val="00CB345D"/>
    <w:rsid w:val="00CB667A"/>
    <w:rsid w:val="00CC48F9"/>
    <w:rsid w:val="00CC4EAF"/>
    <w:rsid w:val="00CC552D"/>
    <w:rsid w:val="00CD1202"/>
    <w:rsid w:val="00CD120E"/>
    <w:rsid w:val="00CD37A7"/>
    <w:rsid w:val="00CD39AC"/>
    <w:rsid w:val="00CD6310"/>
    <w:rsid w:val="00CF1084"/>
    <w:rsid w:val="00CF3915"/>
    <w:rsid w:val="00D01632"/>
    <w:rsid w:val="00D12886"/>
    <w:rsid w:val="00D22C73"/>
    <w:rsid w:val="00D22E6F"/>
    <w:rsid w:val="00D237E9"/>
    <w:rsid w:val="00D26102"/>
    <w:rsid w:val="00D34D66"/>
    <w:rsid w:val="00D373D0"/>
    <w:rsid w:val="00D4387D"/>
    <w:rsid w:val="00D465DA"/>
    <w:rsid w:val="00D60B1A"/>
    <w:rsid w:val="00D64F96"/>
    <w:rsid w:val="00D671F3"/>
    <w:rsid w:val="00D74CBA"/>
    <w:rsid w:val="00D757EB"/>
    <w:rsid w:val="00D77A54"/>
    <w:rsid w:val="00D8751A"/>
    <w:rsid w:val="00D9223E"/>
    <w:rsid w:val="00D92743"/>
    <w:rsid w:val="00D94CCC"/>
    <w:rsid w:val="00D9505E"/>
    <w:rsid w:val="00DB0F81"/>
    <w:rsid w:val="00DB39FD"/>
    <w:rsid w:val="00DC6D80"/>
    <w:rsid w:val="00DC7B84"/>
    <w:rsid w:val="00DD3486"/>
    <w:rsid w:val="00DD36D4"/>
    <w:rsid w:val="00DD39A3"/>
    <w:rsid w:val="00DD3AC5"/>
    <w:rsid w:val="00DD5006"/>
    <w:rsid w:val="00DD7BF6"/>
    <w:rsid w:val="00DE326B"/>
    <w:rsid w:val="00DE4515"/>
    <w:rsid w:val="00DE7117"/>
    <w:rsid w:val="00DF17DC"/>
    <w:rsid w:val="00E13B34"/>
    <w:rsid w:val="00E1524B"/>
    <w:rsid w:val="00E31EAE"/>
    <w:rsid w:val="00E3703B"/>
    <w:rsid w:val="00E4023D"/>
    <w:rsid w:val="00E40E77"/>
    <w:rsid w:val="00E5258C"/>
    <w:rsid w:val="00E52A5B"/>
    <w:rsid w:val="00E60005"/>
    <w:rsid w:val="00E64740"/>
    <w:rsid w:val="00E721CC"/>
    <w:rsid w:val="00E76A32"/>
    <w:rsid w:val="00E7773C"/>
    <w:rsid w:val="00E900B4"/>
    <w:rsid w:val="00E91AC2"/>
    <w:rsid w:val="00E95CF5"/>
    <w:rsid w:val="00EA15FC"/>
    <w:rsid w:val="00EA2D49"/>
    <w:rsid w:val="00EA2E9F"/>
    <w:rsid w:val="00EB6545"/>
    <w:rsid w:val="00EC2655"/>
    <w:rsid w:val="00EC4E54"/>
    <w:rsid w:val="00ED0728"/>
    <w:rsid w:val="00EE46F8"/>
    <w:rsid w:val="00EE558F"/>
    <w:rsid w:val="00EF451C"/>
    <w:rsid w:val="00EF5BC3"/>
    <w:rsid w:val="00EF7F9F"/>
    <w:rsid w:val="00F256A3"/>
    <w:rsid w:val="00F31F48"/>
    <w:rsid w:val="00F42322"/>
    <w:rsid w:val="00F42DB3"/>
    <w:rsid w:val="00F51BFD"/>
    <w:rsid w:val="00F5650C"/>
    <w:rsid w:val="00F626C6"/>
    <w:rsid w:val="00F67FA6"/>
    <w:rsid w:val="00F7746D"/>
    <w:rsid w:val="00F918F1"/>
    <w:rsid w:val="00F937FC"/>
    <w:rsid w:val="00F95FB7"/>
    <w:rsid w:val="00FA3F86"/>
    <w:rsid w:val="00FB5F7F"/>
    <w:rsid w:val="00FB69F1"/>
    <w:rsid w:val="00FC42D1"/>
    <w:rsid w:val="00FC5605"/>
    <w:rsid w:val="00FD10AE"/>
    <w:rsid w:val="00FD314E"/>
    <w:rsid w:val="00FD33D0"/>
    <w:rsid w:val="00FD58C8"/>
    <w:rsid w:val="00FF1A9D"/>
    <w:rsid w:val="00FF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1419985A-E380-4FEF-9789-EC15AB78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6EF7"/>
    <w:rPr>
      <w:rFonts w:ascii="Arial" w:hAnsi="Arial" w:cs="Arial"/>
      <w:lang w:val="de-DE"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FF0000"/>
    </w:rPr>
  </w:style>
  <w:style w:type="character" w:customStyle="1" w:styleId="WW8Num3z0">
    <w:name w:val="WW8Num3z0"/>
    <w:rPr>
      <w:rFonts w:ascii="Arial" w:eastAsia="Times New Roman" w:hAnsi="Arial" w:cs="Arial" w:hint="default"/>
      <w:b/>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link w:val="TextkrperZchn"/>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link w:val="Textkrper-ZeileneinzugZchn"/>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styleId="Listenabsatz">
    <w:name w:val="List Paragraph"/>
    <w:basedOn w:val="Standard"/>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customStyle="1" w:styleId="KopfzeileZchn">
    <w:name w:val="Kopfzeile Zchn"/>
    <w:link w:val="Kopfzeile"/>
    <w:rsid w:val="006F2EA7"/>
    <w:rPr>
      <w:rFonts w:ascii="Arial" w:hAnsi="Arial" w:cs="Arial"/>
      <w:lang w:eastAsia="zh-CN"/>
    </w:rPr>
  </w:style>
  <w:style w:type="character" w:styleId="NichtaufgelsteErwhnung">
    <w:name w:val="Unresolved Mention"/>
    <w:uiPriority w:val="99"/>
    <w:semiHidden/>
    <w:unhideWhenUsed/>
    <w:rsid w:val="002535AF"/>
    <w:rPr>
      <w:color w:val="808080"/>
      <w:shd w:val="clear" w:color="auto" w:fill="E6E6E6"/>
    </w:rPr>
  </w:style>
  <w:style w:type="paragraph" w:styleId="Sprechblasentext">
    <w:name w:val="Balloon Text"/>
    <w:basedOn w:val="Standard"/>
    <w:link w:val="SprechblasentextZchn"/>
    <w:uiPriority w:val="99"/>
    <w:semiHidden/>
    <w:unhideWhenUsed/>
    <w:rsid w:val="00332597"/>
    <w:rPr>
      <w:rFonts w:ascii="Segoe UI" w:hAnsi="Segoe UI" w:cs="Segoe UI"/>
      <w:sz w:val="18"/>
      <w:szCs w:val="18"/>
    </w:rPr>
  </w:style>
  <w:style w:type="character" w:customStyle="1" w:styleId="SprechblasentextZchn">
    <w:name w:val="Sprechblasentext Zchn"/>
    <w:link w:val="Sprechblasentext"/>
    <w:uiPriority w:val="99"/>
    <w:semiHidden/>
    <w:rsid w:val="00332597"/>
    <w:rPr>
      <w:rFonts w:ascii="Segoe UI" w:hAnsi="Segoe UI" w:cs="Segoe UI"/>
      <w:sz w:val="18"/>
      <w:szCs w:val="18"/>
      <w:lang w:eastAsia="zh-CN"/>
    </w:rPr>
  </w:style>
  <w:style w:type="character" w:customStyle="1" w:styleId="FuzeileZchn">
    <w:name w:val="Fußzeile Zchn"/>
    <w:link w:val="Fuzeile"/>
    <w:uiPriority w:val="99"/>
    <w:rsid w:val="00B96BB8"/>
    <w:rPr>
      <w:rFonts w:ascii="Arial" w:hAnsi="Arial" w:cs="Arial"/>
      <w:lang w:val="de-DE" w:eastAsia="zh-CN"/>
    </w:rPr>
  </w:style>
  <w:style w:type="paragraph" w:customStyle="1" w:styleId="footnote">
    <w:name w:val="footnote"/>
    <w:basedOn w:val="Standard"/>
    <w:uiPriority w:val="99"/>
    <w:rsid w:val="00B96BB8"/>
    <w:pPr>
      <w:autoSpaceDE w:val="0"/>
      <w:autoSpaceDN w:val="0"/>
      <w:adjustRightInd w:val="0"/>
      <w:spacing w:line="200" w:lineRule="atLeast"/>
      <w:jc w:val="both"/>
      <w:textAlignment w:val="center"/>
    </w:pPr>
    <w:rPr>
      <w:rFonts w:ascii="Barlow" w:hAnsi="Barlow" w:cs="Barlow"/>
      <w:color w:val="000000"/>
      <w:sz w:val="14"/>
      <w:szCs w:val="14"/>
      <w:lang w:val="en-GB" w:eastAsia="en-US"/>
    </w:rPr>
  </w:style>
  <w:style w:type="character" w:styleId="Zeilennummer">
    <w:name w:val="line number"/>
    <w:uiPriority w:val="99"/>
    <w:unhideWhenUsed/>
    <w:rsid w:val="006577F5"/>
    <w:rPr>
      <w:rFonts w:ascii="Arial" w:hAnsi="Arial"/>
      <w:color w:val="808080" w:themeColor="background1" w:themeShade="80"/>
      <w:sz w:val="16"/>
    </w:rPr>
  </w:style>
  <w:style w:type="character" w:customStyle="1" w:styleId="TextkrperZchn">
    <w:name w:val="Textkörper Zchn"/>
    <w:basedOn w:val="Absatz-Standardschriftart"/>
    <w:link w:val="Textkrper"/>
    <w:rsid w:val="007F0E21"/>
    <w:rPr>
      <w:rFonts w:ascii="Arial" w:hAnsi="Arial" w:cs="Arial"/>
      <w:sz w:val="24"/>
      <w:lang w:val="de-DE" w:eastAsia="zh-CN"/>
    </w:rPr>
  </w:style>
  <w:style w:type="character" w:customStyle="1" w:styleId="Textkrper-ZeileneinzugZchn">
    <w:name w:val="Textkörper-Zeileneinzug Zchn"/>
    <w:basedOn w:val="Absatz-Standardschriftart"/>
    <w:link w:val="Textkrper-Zeileneinzug"/>
    <w:rsid w:val="007F0E21"/>
    <w:rPr>
      <w:rFonts w:ascii="FuturaA Bk BT" w:hAnsi="FuturaA Bk BT" w:cs="FuturaA Bk BT"/>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adl-europe.com/accessories.html"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l-europe.com/products/embedded-sbcs/adle3800sec.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l-europe.com/products/systems/system-overwie/embedded-pc-systems-overview/adlepc-1520-mini-embedded-pc.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dl-europe.com/products/systems/system-overwie/embedded-pc-systems-overview/adlepc-1500-mini-embedded-pc.html"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6452-F488-4D5D-913D-E7009D84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gii</vt:lpstr>
      <vt:lpstr>Presse-Information</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gii</dc:title>
  <dc:subject>Presse-information</dc:subject>
  <dc:creator>Holger Wittrock</dc:creator>
  <cp:keywords/>
  <dc:description/>
  <cp:lastModifiedBy>Ruediger Eikmeier</cp:lastModifiedBy>
  <cp:revision>3</cp:revision>
  <cp:lastPrinted>2018-09-24T14:25:00Z</cp:lastPrinted>
  <dcterms:created xsi:type="dcterms:W3CDTF">2018-10-02T14:45:00Z</dcterms:created>
  <dcterms:modified xsi:type="dcterms:W3CDTF">2018-10-04T13:40:00Z</dcterms:modified>
</cp:coreProperties>
</file>