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1219" w:rsidRDefault="009E1219">
      <w:bookmarkStart w:id="0" w:name="_GoBack"/>
      <w:bookmarkEnd w:id="0"/>
      <w:r>
        <w:rPr>
          <w:sz w:val="40"/>
          <w:szCs w:val="40"/>
        </w:rPr>
        <w:t>Presseinformation</w:t>
      </w:r>
    </w:p>
    <w:p w:rsidR="009E1219" w:rsidRDefault="009E1219">
      <w:pPr>
        <w:spacing w:line="360" w:lineRule="auto"/>
        <w:ind w:right="-2"/>
        <w:rPr>
          <w:b/>
          <w:sz w:val="24"/>
          <w:szCs w:val="40"/>
        </w:rPr>
      </w:pPr>
    </w:p>
    <w:p w:rsidR="009E1219" w:rsidRDefault="00FB7249">
      <w:pPr>
        <w:suppressAutoHyphens/>
        <w:spacing w:line="360" w:lineRule="auto"/>
      </w:pPr>
      <w:r>
        <w:rPr>
          <w:b/>
          <w:sz w:val="24"/>
        </w:rPr>
        <w:t>electronica</w:t>
      </w:r>
      <w:r w:rsidR="00BD4E33">
        <w:rPr>
          <w:b/>
          <w:sz w:val="24"/>
        </w:rPr>
        <w:t xml:space="preserve">: </w:t>
      </w:r>
      <w:r>
        <w:rPr>
          <w:b/>
          <w:sz w:val="24"/>
        </w:rPr>
        <w:t>Messeneuheit mit Hall-Effekt</w:t>
      </w:r>
    </w:p>
    <w:p w:rsidR="009E1219" w:rsidRDefault="009E1219">
      <w:pPr>
        <w:spacing w:line="360" w:lineRule="auto"/>
        <w:ind w:right="-2"/>
        <w:rPr>
          <w:b/>
        </w:rPr>
      </w:pPr>
    </w:p>
    <w:p w:rsidR="009E1219" w:rsidRDefault="0057704D" w:rsidP="00BD4E33">
      <w:pPr>
        <w:spacing w:line="360" w:lineRule="auto"/>
        <w:ind w:right="-2"/>
        <w:jc w:val="both"/>
        <w:rPr>
          <w:b/>
        </w:rPr>
      </w:pPr>
      <w:r w:rsidRPr="0057704D">
        <w:t xml:space="preserve">Luckenwalde – </w:t>
      </w:r>
      <w:r w:rsidR="00437961">
        <w:t>Auf der electronica stellt der Bediengeräte-Spezialist Griessbach</w:t>
      </w:r>
      <w:r w:rsidR="00181CCC">
        <w:t xml:space="preserve"> </w:t>
      </w:r>
      <w:r w:rsidR="00437961">
        <w:t xml:space="preserve">in Halle A2, Stand 109, </w:t>
      </w:r>
      <w:r w:rsidR="00FB7249">
        <w:t xml:space="preserve">dem Fachpublikum erstmals seine neu entwickelte Hall-Sensorschaltung für Taster und Schalter </w:t>
      </w:r>
      <w:r w:rsidR="00F8624D">
        <w:t>aller</w:t>
      </w:r>
      <w:r w:rsidR="00FB7249">
        <w:t xml:space="preserve"> gängigen Ausführungen vor. Das </w:t>
      </w:r>
      <w:r w:rsidR="00FB7249" w:rsidRPr="00110693">
        <w:t>zum Patent angemeldete Wirkprinzip zeichnet sich durch eine innovative Sensor- und Magnetanordnung aus, die</w:t>
      </w:r>
      <w:r w:rsidR="00F8624D" w:rsidRPr="00110693">
        <w:t xml:space="preserve"> magnetische Fremdfeldeinwirkungen ohne </w:t>
      </w:r>
      <w:r w:rsidR="001A15DF" w:rsidRPr="00110693">
        <w:t xml:space="preserve">aufwändige 3D-Sensorik und </w:t>
      </w:r>
      <w:r w:rsidR="000E7BE1" w:rsidRPr="00110693">
        <w:t xml:space="preserve">korrespondierende </w:t>
      </w:r>
      <w:r w:rsidR="001A15DF" w:rsidRPr="00110693">
        <w:t xml:space="preserve">Auswertelektronik </w:t>
      </w:r>
      <w:r w:rsidR="00753428" w:rsidRPr="00110693">
        <w:t>sicher</w:t>
      </w:r>
      <w:r w:rsidR="00FB7249" w:rsidRPr="00110693">
        <w:t xml:space="preserve"> </w:t>
      </w:r>
      <w:r w:rsidR="00F8624D" w:rsidRPr="00110693">
        <w:t xml:space="preserve">unterbindet. </w:t>
      </w:r>
      <w:r w:rsidR="00FE00D3" w:rsidRPr="00110693">
        <w:t>Hiermit</w:t>
      </w:r>
      <w:r w:rsidR="00F8624D" w:rsidRPr="00110693">
        <w:t xml:space="preserve"> </w:t>
      </w:r>
      <w:r w:rsidR="00EF43E2" w:rsidRPr="00110693">
        <w:t>bietet sich</w:t>
      </w:r>
      <w:r w:rsidR="00F8624D" w:rsidRPr="00110693">
        <w:t xml:space="preserve"> Schalterherstellern eine wirtschaftliche Alternative zu elektromechanischen </w:t>
      </w:r>
      <w:r w:rsidR="00753428" w:rsidRPr="00110693">
        <w:t>Kontaktbauelementen</w:t>
      </w:r>
      <w:r w:rsidR="00BD4E33" w:rsidRPr="00110693">
        <w:t>. Die von Griessbach</w:t>
      </w:r>
      <w:r w:rsidR="00BD4E33">
        <w:t xml:space="preserve"> konzipierte Lösung entspricht</w:t>
      </w:r>
      <w:r w:rsidR="00753428">
        <w:t xml:space="preserve"> </w:t>
      </w:r>
      <w:r w:rsidR="00753428" w:rsidRPr="003338B7">
        <w:t>den stetig steigenden Anforderungen an die</w:t>
      </w:r>
      <w:r w:rsidR="00FE00D3">
        <w:t xml:space="preserve"> funktionale Sicherheit,</w:t>
      </w:r>
      <w:r w:rsidR="00753428" w:rsidRPr="003338B7">
        <w:t xml:space="preserve"> </w:t>
      </w:r>
      <w:r w:rsidR="00753428">
        <w:t xml:space="preserve">Lebensdauer und Zuverlässigkeit </w:t>
      </w:r>
      <w:r w:rsidR="00753428" w:rsidRPr="003338B7">
        <w:t>von Bedien</w:t>
      </w:r>
      <w:r w:rsidR="00753428">
        <w:t xml:space="preserve">komponenten. </w:t>
      </w:r>
      <w:r w:rsidR="00BD4E33">
        <w:t>Sie</w:t>
      </w:r>
      <w:r w:rsidR="00753428">
        <w:t xml:space="preserve"> lässt sich </w:t>
      </w:r>
      <w:r w:rsidR="00444C5A">
        <w:t>ohne weitere Gehäuse</w:t>
      </w:r>
      <w:r w:rsidR="0078256C">
        <w:t>modifikationen</w:t>
      </w:r>
      <w:r w:rsidR="00753428">
        <w:t xml:space="preserve"> </w:t>
      </w:r>
      <w:r w:rsidR="00444C5A">
        <w:t xml:space="preserve">auch in sehr klein </w:t>
      </w:r>
      <w:r w:rsidR="00444C5A" w:rsidRPr="00D71ACF">
        <w:t xml:space="preserve">dimensionierte Bauformen mit Betätigungswegen ab 1 mm </w:t>
      </w:r>
      <w:r w:rsidR="00444C5A">
        <w:t>integrieren</w:t>
      </w:r>
      <w:r w:rsidR="00EF43E2">
        <w:t xml:space="preserve"> und </w:t>
      </w:r>
      <w:r w:rsidR="00EF43E2" w:rsidRPr="00D71ACF">
        <w:t>sowohl diagnosefähig als auch zweikanalig ausgeleg</w:t>
      </w:r>
      <w:r w:rsidR="00FE00D3">
        <w:t>en</w:t>
      </w:r>
      <w:r w:rsidR="00EF43E2">
        <w:t>.</w:t>
      </w:r>
      <w:r w:rsidR="00FE00D3">
        <w:t xml:space="preserve"> Mit mehr als 1 Mio. Schaltspielen eignet sich die </w:t>
      </w:r>
      <w:r w:rsidR="00753428">
        <w:t>verschleißfreie, vibrations-, temperatur-, feuchtigkeits</w:t>
      </w:r>
      <w:r w:rsidR="00444C5A">
        <w:t>beständige und schmutzresistente</w:t>
      </w:r>
      <w:r w:rsidR="00FE00D3">
        <w:t xml:space="preserve"> Hall-Sensorik auch ideal für raue Industrieumgebungen und den Einsatz in Land- und Baumaschinen.</w:t>
      </w:r>
      <w:r w:rsidR="0078256C">
        <w:t xml:space="preserve"> Die Vorteile des neuen Wirkprinzips hat Griessbach auf </w:t>
      </w:r>
      <w:r w:rsidR="0078256C" w:rsidRPr="00AC77D7">
        <w:t xml:space="preserve">www.griessbach-luckenwalde.de </w:t>
      </w:r>
      <w:r w:rsidR="001812E9">
        <w:t xml:space="preserve">in einem Video </w:t>
      </w:r>
      <w:r w:rsidR="0078256C">
        <w:t xml:space="preserve">anschaulich </w:t>
      </w:r>
      <w:r w:rsidR="00BD4E33">
        <w:t>dargestellt</w:t>
      </w:r>
      <w:r w:rsidR="0078256C">
        <w:t xml:space="preserve">. Als weitere Messeneuheit werden neue </w:t>
      </w:r>
      <w:r w:rsidR="001812E9">
        <w:t xml:space="preserve">Funktionen, Anschluss- und Beleuchtungsoptionen für CAN-Tastermodule gezeigt – darunter die mehrfarbige LED-Ring- oder Segmentbeleuchtung zur differenzierten Funktionsanzeige. Außerdem präsentiert der Hersteller eine Auswahl kundenspezifischer Bedien-, Eingabe- und Anzeigesysteme für Offroad- und Industrieanwendungen. Am Messestand erwartet die Besucher ein kompetentes Team, das zu allen Fachfragen Auskunft gibt und sich auf den Austausch mit </w:t>
      </w:r>
      <w:r w:rsidR="00BD4E33">
        <w:t>potenziellen Technologiepartnern aus der Schalter</w:t>
      </w:r>
      <w:r w:rsidR="00AD7E0C">
        <w:t>branche</w:t>
      </w:r>
      <w:r w:rsidR="00BD4E33">
        <w:t xml:space="preserve"> freut.</w:t>
      </w:r>
      <w:r w:rsidR="00BD4E33">
        <w:rPr>
          <w:b/>
        </w:rPr>
        <w:t xml:space="preserve"> </w:t>
      </w:r>
    </w:p>
    <w:p w:rsidR="009E1219" w:rsidRDefault="009E1219">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9E1219">
        <w:tc>
          <w:tcPr>
            <w:tcW w:w="7226" w:type="dxa"/>
            <w:shd w:val="clear" w:color="auto" w:fill="auto"/>
          </w:tcPr>
          <w:p w:rsidR="009E1219" w:rsidRDefault="00580AC4">
            <w:pPr>
              <w:jc w:val="center"/>
            </w:pPr>
            <w:r>
              <w:rPr>
                <w:noProof/>
              </w:rPr>
              <w:lastRenderedPageBreak/>
              <w:drawing>
                <wp:inline distT="0" distB="0" distL="0" distR="0" wp14:anchorId="2E7FCF94" wp14:editId="784B1AC2">
                  <wp:extent cx="3048000" cy="2032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rsidR="00BD4E33" w:rsidRDefault="00BD4E33">
            <w:pPr>
              <w:jc w:val="center"/>
            </w:pPr>
          </w:p>
        </w:tc>
      </w:tr>
      <w:tr w:rsidR="009E1219">
        <w:tc>
          <w:tcPr>
            <w:tcW w:w="7226" w:type="dxa"/>
            <w:shd w:val="clear" w:color="auto" w:fill="auto"/>
          </w:tcPr>
          <w:p w:rsidR="009E1219" w:rsidRDefault="009E1219">
            <w:pPr>
              <w:suppressAutoHyphens/>
              <w:jc w:val="center"/>
            </w:pPr>
            <w:r>
              <w:rPr>
                <w:b/>
                <w:sz w:val="18"/>
              </w:rPr>
              <w:t>Bild:</w:t>
            </w:r>
            <w:r>
              <w:rPr>
                <w:sz w:val="18"/>
              </w:rPr>
              <w:t xml:space="preserve"> </w:t>
            </w:r>
            <w:r w:rsidR="00BD4E33">
              <w:rPr>
                <w:sz w:val="18"/>
              </w:rPr>
              <w:t>Als Messeneuheit</w:t>
            </w:r>
            <w:r w:rsidR="00580AC4">
              <w:rPr>
                <w:sz w:val="18"/>
              </w:rPr>
              <w:t>en</w:t>
            </w:r>
            <w:r w:rsidR="00BD4E33">
              <w:rPr>
                <w:sz w:val="18"/>
              </w:rPr>
              <w:t xml:space="preserve"> zeigt Griessbach auf der electronica seine zum Patent angemeldete Hall-Sensorik </w:t>
            </w:r>
            <w:r w:rsidR="00580AC4">
              <w:rPr>
                <w:sz w:val="18"/>
              </w:rPr>
              <w:t>sowie neue Beleuchtungsoptionen für Kurzhubtaster</w:t>
            </w:r>
          </w:p>
        </w:tc>
      </w:tr>
    </w:tbl>
    <w:p w:rsidR="009E1219" w:rsidRDefault="009E1219">
      <w:pPr>
        <w:spacing w:line="360" w:lineRule="auto"/>
        <w:jc w:val="both"/>
      </w:pPr>
    </w:p>
    <w:p w:rsidR="009E1219" w:rsidRPr="00580AC4" w:rsidRDefault="009E1219">
      <w:pPr>
        <w:spacing w:line="360" w:lineRule="auto"/>
        <w:jc w:val="both"/>
        <w:rPr>
          <w:sz w:val="18"/>
          <w:szCs w:val="18"/>
        </w:rPr>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9E1219" w:rsidRPr="00580AC4">
        <w:trPr>
          <w:cantSplit/>
        </w:trPr>
        <w:tc>
          <w:tcPr>
            <w:tcW w:w="1151" w:type="dxa"/>
            <w:shd w:val="clear" w:color="auto" w:fill="auto"/>
          </w:tcPr>
          <w:p w:rsidR="009E1219" w:rsidRPr="00580AC4" w:rsidRDefault="009E1219">
            <w:pPr>
              <w:rPr>
                <w:sz w:val="18"/>
                <w:szCs w:val="18"/>
              </w:rPr>
            </w:pPr>
            <w:r w:rsidRPr="00580AC4">
              <w:rPr>
                <w:sz w:val="18"/>
                <w:szCs w:val="18"/>
              </w:rPr>
              <w:t>Bilder:</w:t>
            </w:r>
          </w:p>
        </w:tc>
        <w:tc>
          <w:tcPr>
            <w:tcW w:w="3881" w:type="dxa"/>
            <w:shd w:val="clear" w:color="auto" w:fill="auto"/>
          </w:tcPr>
          <w:p w:rsidR="009E1219" w:rsidRPr="00580AC4" w:rsidRDefault="00580AC4">
            <w:pPr>
              <w:rPr>
                <w:sz w:val="18"/>
                <w:szCs w:val="18"/>
              </w:rPr>
            </w:pPr>
            <w:r w:rsidRPr="00580AC4">
              <w:rPr>
                <w:sz w:val="18"/>
                <w:szCs w:val="18"/>
              </w:rPr>
              <w:t>hall_lt_can-modul_2000px</w:t>
            </w:r>
          </w:p>
        </w:tc>
        <w:tc>
          <w:tcPr>
            <w:tcW w:w="850" w:type="dxa"/>
            <w:shd w:val="clear" w:color="auto" w:fill="auto"/>
          </w:tcPr>
          <w:p w:rsidR="009E1219" w:rsidRPr="00580AC4" w:rsidRDefault="009E1219">
            <w:pPr>
              <w:rPr>
                <w:sz w:val="18"/>
                <w:szCs w:val="18"/>
              </w:rPr>
            </w:pPr>
            <w:r w:rsidRPr="00580AC4">
              <w:rPr>
                <w:sz w:val="18"/>
                <w:szCs w:val="18"/>
              </w:rPr>
              <w:t>Zeichen:</w:t>
            </w:r>
          </w:p>
        </w:tc>
        <w:tc>
          <w:tcPr>
            <w:tcW w:w="1302" w:type="dxa"/>
            <w:shd w:val="clear" w:color="auto" w:fill="auto"/>
          </w:tcPr>
          <w:p w:rsidR="009E1219" w:rsidRPr="00580AC4" w:rsidRDefault="00580AC4">
            <w:pPr>
              <w:jc w:val="right"/>
              <w:rPr>
                <w:sz w:val="18"/>
                <w:szCs w:val="18"/>
              </w:rPr>
            </w:pPr>
            <w:r w:rsidRPr="00580AC4">
              <w:rPr>
                <w:sz w:val="18"/>
                <w:szCs w:val="18"/>
              </w:rPr>
              <w:t>1.8</w:t>
            </w:r>
            <w:r w:rsidR="00110693">
              <w:rPr>
                <w:sz w:val="18"/>
                <w:szCs w:val="18"/>
              </w:rPr>
              <w:t>39</w:t>
            </w:r>
          </w:p>
        </w:tc>
      </w:tr>
      <w:tr w:rsidR="009E1219" w:rsidRPr="00580AC4">
        <w:trPr>
          <w:cantSplit/>
        </w:trPr>
        <w:tc>
          <w:tcPr>
            <w:tcW w:w="1151" w:type="dxa"/>
            <w:shd w:val="clear" w:color="auto" w:fill="auto"/>
          </w:tcPr>
          <w:p w:rsidR="009E1219" w:rsidRPr="00580AC4" w:rsidRDefault="009E1219">
            <w:pPr>
              <w:spacing w:before="120"/>
              <w:rPr>
                <w:sz w:val="18"/>
                <w:szCs w:val="18"/>
              </w:rPr>
            </w:pPr>
            <w:r w:rsidRPr="00580AC4">
              <w:rPr>
                <w:sz w:val="18"/>
                <w:szCs w:val="18"/>
              </w:rPr>
              <w:t>Dateiname:</w:t>
            </w:r>
          </w:p>
        </w:tc>
        <w:tc>
          <w:tcPr>
            <w:tcW w:w="3881" w:type="dxa"/>
            <w:shd w:val="clear" w:color="auto" w:fill="auto"/>
          </w:tcPr>
          <w:p w:rsidR="009E1219" w:rsidRPr="00580AC4" w:rsidRDefault="00303ADB">
            <w:pPr>
              <w:spacing w:before="120"/>
              <w:rPr>
                <w:sz w:val="18"/>
                <w:szCs w:val="18"/>
              </w:rPr>
            </w:pPr>
            <w:r w:rsidRPr="00303ADB">
              <w:rPr>
                <w:sz w:val="18"/>
                <w:szCs w:val="18"/>
              </w:rPr>
              <w:t>201810001</w:t>
            </w:r>
            <w:r w:rsidR="00580AC4" w:rsidRPr="00580AC4">
              <w:rPr>
                <w:sz w:val="18"/>
                <w:szCs w:val="18"/>
              </w:rPr>
              <w:t>_pm_electronica_2018</w:t>
            </w:r>
          </w:p>
        </w:tc>
        <w:tc>
          <w:tcPr>
            <w:tcW w:w="850" w:type="dxa"/>
            <w:shd w:val="clear" w:color="auto" w:fill="auto"/>
          </w:tcPr>
          <w:p w:rsidR="009E1219" w:rsidRPr="00580AC4" w:rsidRDefault="009E1219">
            <w:pPr>
              <w:spacing w:before="120"/>
              <w:rPr>
                <w:sz w:val="18"/>
                <w:szCs w:val="18"/>
              </w:rPr>
            </w:pPr>
            <w:r w:rsidRPr="00580AC4">
              <w:rPr>
                <w:sz w:val="18"/>
                <w:szCs w:val="18"/>
              </w:rPr>
              <w:t>Datum:</w:t>
            </w:r>
          </w:p>
        </w:tc>
        <w:tc>
          <w:tcPr>
            <w:tcW w:w="1302" w:type="dxa"/>
            <w:shd w:val="clear" w:color="auto" w:fill="auto"/>
          </w:tcPr>
          <w:p w:rsidR="009E1219" w:rsidRPr="00580AC4" w:rsidRDefault="00945204">
            <w:pPr>
              <w:spacing w:before="120"/>
              <w:jc w:val="right"/>
              <w:rPr>
                <w:sz w:val="18"/>
                <w:szCs w:val="18"/>
              </w:rPr>
            </w:pPr>
            <w:r>
              <w:rPr>
                <w:sz w:val="18"/>
                <w:szCs w:val="18"/>
              </w:rPr>
              <w:t>23.10.2018</w:t>
            </w:r>
          </w:p>
        </w:tc>
      </w:tr>
    </w:tbl>
    <w:p w:rsidR="009E1219" w:rsidRPr="00580AC4" w:rsidRDefault="009E1219">
      <w:pPr>
        <w:pStyle w:val="Textkrper"/>
        <w:jc w:val="both"/>
        <w:rPr>
          <w:sz w:val="18"/>
          <w:szCs w:val="18"/>
        </w:rPr>
      </w:pPr>
    </w:p>
    <w:p w:rsidR="009E1219" w:rsidRDefault="009E1219">
      <w:pPr>
        <w:pStyle w:val="Textkrper"/>
        <w:jc w:val="both"/>
      </w:pPr>
      <w:r>
        <w:rPr>
          <w:b/>
          <w:sz w:val="16"/>
        </w:rPr>
        <w:t>Unternehmenshintergrund</w:t>
      </w:r>
    </w:p>
    <w:p w:rsidR="009E1219" w:rsidRDefault="009E1219">
      <w:pPr>
        <w:pStyle w:val="Textkrper"/>
        <w:jc w:val="both"/>
        <w:rPr>
          <w:b/>
          <w:sz w:val="16"/>
        </w:rPr>
      </w:pPr>
    </w:p>
    <w:p w:rsidR="009E1219" w:rsidRDefault="009E1219">
      <w:pPr>
        <w:pStyle w:val="Textkrper"/>
        <w:suppressAutoHyphens/>
        <w:jc w:val="both"/>
      </w:pPr>
      <w:r>
        <w:rPr>
          <w:sz w:val="16"/>
        </w:rPr>
        <w:t>Die Griessbach GmbH in Luckenwalde entwickelt und fertigt Bedien- und Steuerungssysteme für Land- und Baumaschinen, Schienenfahrzeuge, Druckmaschinen, Schiffe sowie für den Maschinenbau und die Medizintechnik. Das Angebotsspektrum reicht von einfachen Baugruppen bis zu komplexer Industrieelektronik. Seinen Kunden bietet das Unternehmen Leistungen aus einer Hand: angefangen mit dem Produktdesign bis zur kompletten Fertigung einschließlich kundenspezifischer Lösungen für Mechanik, Hard- und Software sowie deren Qualitäts- und Funktionalitätsprüfung an Mustern, Prototypen und in der Serie. Erhältlich sind neben Standardmodulen auch Bediensysteme, die nach Kundenvorgaben in individuellen Abmessungen und Oberflächendesigns mit variabel konfigurierbarer Tastermatrix und Tastflächenbeleuchtung hergestellt werden. Das Luckenwalder Werk ist Teil der Richard Grießbach Unternehmensgruppe, die in Dippoldiswalde, Altenberg und Bremen weitere Fertigungsstätten für pneumatische und hydraulische Komponenten, Präzisionsdrehteile sowie für Innentürsysteme und Sanitärtechnik in Schienenfahrzeugen betreibt.</w:t>
      </w:r>
    </w:p>
    <w:p w:rsidR="009E1219" w:rsidRDefault="009E1219">
      <w:pPr>
        <w:pBdr>
          <w:top w:val="none" w:sz="0" w:space="0" w:color="000000"/>
          <w:left w:val="none" w:sz="0" w:space="0" w:color="000000"/>
          <w:bottom w:val="none" w:sz="0" w:space="0" w:color="000000"/>
          <w:right w:val="none" w:sz="0" w:space="0" w:color="000000"/>
        </w:pBdr>
        <w:jc w:val="both"/>
        <w:rPr>
          <w:sz w:val="16"/>
        </w:rPr>
      </w:pPr>
    </w:p>
    <w:p w:rsidR="009E1219" w:rsidRDefault="009E1219">
      <w:pPr>
        <w:pStyle w:val="Textkrper"/>
        <w:pBdr>
          <w:top w:val="none" w:sz="0" w:space="0" w:color="000000"/>
          <w:left w:val="none" w:sz="0" w:space="0" w:color="000000"/>
          <w:bottom w:val="none" w:sz="0" w:space="0" w:color="000000"/>
          <w:right w:val="none" w:sz="0" w:space="0" w:color="000000"/>
        </w:pBdr>
        <w:jc w:val="both"/>
        <w:rPr>
          <w:sz w:val="16"/>
        </w:rPr>
      </w:pPr>
    </w:p>
    <w:tbl>
      <w:tblPr>
        <w:tblW w:w="0" w:type="auto"/>
        <w:tblLayout w:type="fixed"/>
        <w:tblCellMar>
          <w:left w:w="70" w:type="dxa"/>
          <w:right w:w="70" w:type="dxa"/>
        </w:tblCellMar>
        <w:tblLook w:val="0000" w:firstRow="0" w:lastRow="0" w:firstColumn="0" w:lastColumn="0" w:noHBand="0" w:noVBand="0"/>
      </w:tblPr>
      <w:tblGrid>
        <w:gridCol w:w="4323"/>
        <w:gridCol w:w="567"/>
        <w:gridCol w:w="2268"/>
      </w:tblGrid>
      <w:tr w:rsidR="009E1219">
        <w:tc>
          <w:tcPr>
            <w:tcW w:w="4323" w:type="dxa"/>
            <w:shd w:val="clear" w:color="auto" w:fill="auto"/>
          </w:tcPr>
          <w:p w:rsidR="009E1219" w:rsidRDefault="009E1219">
            <w:r>
              <w:rPr>
                <w:b/>
              </w:rPr>
              <w:t>Kontakt:</w:t>
            </w:r>
          </w:p>
          <w:p w:rsidR="009E1219" w:rsidRDefault="009E1219">
            <w:pPr>
              <w:pStyle w:val="berschrift4"/>
              <w:ind w:left="0" w:firstLine="0"/>
            </w:pPr>
            <w:r>
              <w:rPr>
                <w:sz w:val="20"/>
              </w:rPr>
              <w:br/>
              <w:t>Griessbach GmbH</w:t>
            </w:r>
          </w:p>
          <w:p w:rsidR="009E1219" w:rsidRDefault="00FE7B14">
            <w:pPr>
              <w:pStyle w:val="Kopfzeile"/>
              <w:tabs>
                <w:tab w:val="clear" w:pos="4536"/>
                <w:tab w:val="clear" w:pos="9072"/>
              </w:tabs>
              <w:spacing w:before="120" w:after="120"/>
            </w:pPr>
            <w:r>
              <w:t>Kathrin Peters</w:t>
            </w:r>
          </w:p>
          <w:p w:rsidR="009E1219" w:rsidRDefault="009E1219">
            <w:pPr>
              <w:jc w:val="both"/>
            </w:pPr>
            <w:r>
              <w:t>Im Biotechnologiepark</w:t>
            </w:r>
          </w:p>
          <w:p w:rsidR="009E1219" w:rsidRDefault="009E1219">
            <w:pPr>
              <w:jc w:val="both"/>
            </w:pPr>
            <w:r>
              <w:t>14943 Luckenwalde</w:t>
            </w:r>
          </w:p>
          <w:p w:rsidR="009E1219" w:rsidRDefault="009E1219">
            <w:pPr>
              <w:spacing w:before="120"/>
              <w:jc w:val="both"/>
            </w:pPr>
            <w:r>
              <w:t xml:space="preserve">Tel.: 03371 / 6262 - </w:t>
            </w:r>
            <w:r w:rsidR="00FE7B14">
              <w:t>12</w:t>
            </w:r>
          </w:p>
          <w:p w:rsidR="001C5924" w:rsidRDefault="001C5924" w:rsidP="001C5924">
            <w:pPr>
              <w:jc w:val="both"/>
            </w:pPr>
            <w:r>
              <w:t>Fax: 03371 / 6262 - 9</w:t>
            </w:r>
            <w:r w:rsidR="00FE7B14">
              <w:t>9</w:t>
            </w:r>
          </w:p>
          <w:p w:rsidR="009E1219" w:rsidRDefault="009E1219">
            <w:pPr>
              <w:jc w:val="both"/>
            </w:pPr>
            <w:r>
              <w:t>E-Mail: info@griessbach.de</w:t>
            </w:r>
          </w:p>
          <w:p w:rsidR="009E1219" w:rsidRDefault="009E1219">
            <w:pPr>
              <w:pStyle w:val="Textkrper"/>
              <w:jc w:val="both"/>
            </w:pPr>
            <w:r>
              <w:rPr>
                <w:sz w:val="20"/>
              </w:rPr>
              <w:t>Internet: www.griessbach.de</w:t>
            </w:r>
          </w:p>
        </w:tc>
        <w:tc>
          <w:tcPr>
            <w:tcW w:w="567" w:type="dxa"/>
            <w:shd w:val="clear" w:color="auto" w:fill="auto"/>
          </w:tcPr>
          <w:p w:rsidR="009E1219" w:rsidRDefault="00340B93">
            <w:pPr>
              <w:pStyle w:val="Textkrper"/>
              <w:jc w:val="right"/>
              <w:rPr>
                <w:sz w:val="16"/>
              </w:rPr>
            </w:pPr>
            <w:r>
              <w:rPr>
                <w:noProof/>
                <w:sz w:val="20"/>
              </w:rPr>
              <w:drawing>
                <wp:inline distT="0" distB="0" distL="0" distR="0">
                  <wp:extent cx="215900" cy="2159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FFFFFF"/>
                          </a:solidFill>
                          <a:ln>
                            <a:noFill/>
                          </a:ln>
                        </pic:spPr>
                      </pic:pic>
                    </a:graphicData>
                  </a:graphic>
                </wp:inline>
              </w:drawing>
            </w:r>
          </w:p>
        </w:tc>
        <w:tc>
          <w:tcPr>
            <w:tcW w:w="2268" w:type="dxa"/>
            <w:shd w:val="clear" w:color="auto" w:fill="auto"/>
          </w:tcPr>
          <w:p w:rsidR="009E1219" w:rsidRDefault="009E1219">
            <w:pPr>
              <w:pStyle w:val="Textkrper"/>
              <w:jc w:val="both"/>
            </w:pPr>
            <w:r>
              <w:rPr>
                <w:sz w:val="16"/>
              </w:rPr>
              <w:t>gii die Presse-Agentur GmbH</w:t>
            </w:r>
          </w:p>
          <w:p w:rsidR="009E1219" w:rsidRDefault="009E1219">
            <w:pPr>
              <w:pStyle w:val="Textkrper"/>
            </w:pPr>
            <w:r>
              <w:rPr>
                <w:sz w:val="16"/>
              </w:rPr>
              <w:t>Immanuelkirchstraße 12</w:t>
            </w:r>
          </w:p>
          <w:p w:rsidR="009E1219" w:rsidRDefault="009E1219">
            <w:pPr>
              <w:pStyle w:val="Textkrper"/>
              <w:jc w:val="both"/>
            </w:pPr>
            <w:r>
              <w:rPr>
                <w:sz w:val="16"/>
              </w:rPr>
              <w:t>10405 Berlin</w:t>
            </w:r>
          </w:p>
          <w:p w:rsidR="009E1219" w:rsidRDefault="009E1219">
            <w:pPr>
              <w:pStyle w:val="Textkrper"/>
              <w:jc w:val="both"/>
            </w:pPr>
            <w:r>
              <w:rPr>
                <w:sz w:val="16"/>
              </w:rPr>
              <w:t>Tel.: 0 30 / 53 89 65 -0</w:t>
            </w:r>
          </w:p>
          <w:p w:rsidR="009E1219" w:rsidRDefault="009E1219">
            <w:pPr>
              <w:pStyle w:val="Textkrper"/>
              <w:jc w:val="both"/>
            </w:pPr>
            <w:r>
              <w:rPr>
                <w:sz w:val="16"/>
              </w:rPr>
              <w:t>Fax: 0 30 / 53 89 65 -29</w:t>
            </w:r>
          </w:p>
          <w:p w:rsidR="009E1219" w:rsidRDefault="009E1219">
            <w:pPr>
              <w:pStyle w:val="Textkrper"/>
              <w:jc w:val="both"/>
            </w:pPr>
            <w:r>
              <w:rPr>
                <w:sz w:val="16"/>
              </w:rPr>
              <w:t>E-Mail: info@gii.de</w:t>
            </w:r>
          </w:p>
          <w:p w:rsidR="009E1219" w:rsidRDefault="009E1219">
            <w:pPr>
              <w:pStyle w:val="Textkrper"/>
              <w:jc w:val="both"/>
            </w:pPr>
            <w:r>
              <w:rPr>
                <w:sz w:val="16"/>
              </w:rPr>
              <w:t>Internet: www.gii.de</w:t>
            </w:r>
          </w:p>
        </w:tc>
      </w:tr>
    </w:tbl>
    <w:p w:rsidR="009E1219" w:rsidRDefault="009E1219"/>
    <w:sectPr w:rsidR="009E1219">
      <w:headerReference w:type="default" r:id="rId9"/>
      <w:footerReference w:type="default" r:id="rId10"/>
      <w:headerReference w:type="first" r:id="rId11"/>
      <w:footerReference w:type="first" r:id="rId12"/>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809" w:rsidRDefault="002A1809">
      <w:r>
        <w:separator/>
      </w:r>
    </w:p>
  </w:endnote>
  <w:endnote w:type="continuationSeparator" w:id="0">
    <w:p w:rsidR="002A1809" w:rsidRDefault="002A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Unifont">
    <w:charset w:val="01"/>
    <w:family w:val="auto"/>
    <w:pitch w:val="variable"/>
  </w:font>
  <w:font w:name="FreeSans">
    <w:altName w:val="Times New Roman"/>
    <w:charset w:val="01"/>
    <w:family w:val="auto"/>
    <w:pitch w:val="variable"/>
  </w:font>
  <w:font w:name="FuturaA Bk BT">
    <w:altName w:val="Tahoma"/>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219" w:rsidRDefault="009E1219">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219" w:rsidRDefault="009E121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809" w:rsidRDefault="002A1809">
      <w:r>
        <w:separator/>
      </w:r>
    </w:p>
  </w:footnote>
  <w:footnote w:type="continuationSeparator" w:id="0">
    <w:p w:rsidR="002A1809" w:rsidRDefault="002A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219" w:rsidRDefault="00340B93">
    <w:pPr>
      <w:pStyle w:val="Kopfzeile"/>
      <w:tabs>
        <w:tab w:val="clear" w:pos="4536"/>
        <w:tab w:val="clear" w:pos="9072"/>
      </w:tabs>
      <w:suppressAutoHyphens/>
      <w:ind w:left="709" w:hanging="709"/>
    </w:pPr>
    <w:r>
      <w:rPr>
        <w:noProof/>
        <w:sz w:val="18"/>
      </w:rPr>
      <w:drawing>
        <wp:anchor distT="0" distB="0" distL="114935" distR="114935" simplePos="0" relativeHeight="251658240" behindDoc="0" locked="0" layoutInCell="1" allowOverlap="1">
          <wp:simplePos x="0" y="0"/>
          <wp:positionH relativeFrom="column">
            <wp:posOffset>4104005</wp:posOffset>
          </wp:positionH>
          <wp:positionV relativeFrom="paragraph">
            <wp:posOffset>-250825</wp:posOffset>
          </wp:positionV>
          <wp:extent cx="1770380" cy="61785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617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E1219">
      <w:rPr>
        <w:sz w:val="18"/>
      </w:rPr>
      <w:t xml:space="preserve">Seite </w:t>
    </w:r>
    <w:r w:rsidR="009E1219">
      <w:rPr>
        <w:rStyle w:val="Seitenzahl"/>
        <w:sz w:val="18"/>
      </w:rPr>
      <w:fldChar w:fldCharType="begin"/>
    </w:r>
    <w:r w:rsidR="009E1219">
      <w:rPr>
        <w:rStyle w:val="Seitenzahl"/>
        <w:sz w:val="18"/>
      </w:rPr>
      <w:instrText xml:space="preserve"> PAGE </w:instrText>
    </w:r>
    <w:r w:rsidR="009E1219">
      <w:rPr>
        <w:rStyle w:val="Seitenzahl"/>
        <w:sz w:val="18"/>
      </w:rPr>
      <w:fldChar w:fldCharType="separate"/>
    </w:r>
    <w:r w:rsidR="009E1219">
      <w:rPr>
        <w:rStyle w:val="Seitenzahl"/>
        <w:sz w:val="18"/>
      </w:rPr>
      <w:t>0</w:t>
    </w:r>
    <w:r w:rsidR="009E1219">
      <w:rPr>
        <w:rStyle w:val="Seitenzahl"/>
        <w:sz w:val="18"/>
      </w:rPr>
      <w:fldChar w:fldCharType="end"/>
    </w:r>
    <w:r w:rsidR="009E1219">
      <w:rPr>
        <w:rStyle w:val="Seitenzahl"/>
        <w:sz w:val="18"/>
      </w:rPr>
      <w:t>:</w:t>
    </w:r>
    <w:r w:rsidR="009E1219">
      <w:rPr>
        <w:rStyle w:val="Seitenzahl"/>
        <w:sz w:val="18"/>
      </w:rPr>
      <w:tab/>
    </w:r>
    <w:r w:rsidR="00181CCC">
      <w:rPr>
        <w:rStyle w:val="Seitenzahl"/>
        <w:sz w:val="18"/>
      </w:rPr>
      <w:t>electronica Messeankündigung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219" w:rsidRDefault="00340B93">
    <w:pPr>
      <w:pStyle w:val="Kopfzeile"/>
      <w:tabs>
        <w:tab w:val="clear" w:pos="4536"/>
        <w:tab w:val="clear" w:pos="9072"/>
      </w:tabs>
      <w:rPr>
        <w:sz w:val="2"/>
        <w:lang w:val="en-US" w:eastAsia="de-DE"/>
      </w:rPr>
    </w:pPr>
    <w:r>
      <w:rPr>
        <w:noProof/>
      </w:rPr>
      <w:drawing>
        <wp:anchor distT="0" distB="0" distL="114935" distR="114935" simplePos="0" relativeHeight="251657216" behindDoc="0" locked="0" layoutInCell="1" allowOverlap="1">
          <wp:simplePos x="0" y="0"/>
          <wp:positionH relativeFrom="column">
            <wp:posOffset>4084955</wp:posOffset>
          </wp:positionH>
          <wp:positionV relativeFrom="paragraph">
            <wp:posOffset>-241300</wp:posOffset>
          </wp:positionV>
          <wp:extent cx="1770380" cy="61785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6178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24"/>
    <w:rsid w:val="000E7BE1"/>
    <w:rsid w:val="00110693"/>
    <w:rsid w:val="001812E9"/>
    <w:rsid w:val="00181CCC"/>
    <w:rsid w:val="001A15DF"/>
    <w:rsid w:val="001C5924"/>
    <w:rsid w:val="002A1809"/>
    <w:rsid w:val="00303ADB"/>
    <w:rsid w:val="00340B93"/>
    <w:rsid w:val="00385E9E"/>
    <w:rsid w:val="00437961"/>
    <w:rsid w:val="00444C5A"/>
    <w:rsid w:val="004E79C2"/>
    <w:rsid w:val="0057704D"/>
    <w:rsid w:val="00580AC4"/>
    <w:rsid w:val="00595950"/>
    <w:rsid w:val="005D64E7"/>
    <w:rsid w:val="00612D09"/>
    <w:rsid w:val="006C548F"/>
    <w:rsid w:val="00753428"/>
    <w:rsid w:val="0078256C"/>
    <w:rsid w:val="00945204"/>
    <w:rsid w:val="009E1219"/>
    <w:rsid w:val="00AD7E0C"/>
    <w:rsid w:val="00BD3E77"/>
    <w:rsid w:val="00BD4E33"/>
    <w:rsid w:val="00EA41CA"/>
    <w:rsid w:val="00EF43E2"/>
    <w:rsid w:val="00F8624D"/>
    <w:rsid w:val="00F959D3"/>
    <w:rsid w:val="00FB7249"/>
    <w:rsid w:val="00FE00D3"/>
    <w:rsid w:val="00FE7B14"/>
    <w:rsid w:val="00FF4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5:chartTrackingRefBased/>
  <w15:docId w15:val="{B74A6154-AA6E-4FE4-8658-B8CF18D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Fett">
    <w:name w:val="Strong"/>
    <w:qFormat/>
    <w:rPr>
      <w:b/>
      <w:bCs/>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Liberation Sans" w:eastAsia="Unifont" w:hAnsi="Liberation Sans"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Ruediger Eikmeier</cp:lastModifiedBy>
  <cp:revision>10</cp:revision>
  <cp:lastPrinted>2002-09-20T12:05:00Z</cp:lastPrinted>
  <dcterms:created xsi:type="dcterms:W3CDTF">2018-10-01T11:35:00Z</dcterms:created>
  <dcterms:modified xsi:type="dcterms:W3CDTF">2018-10-23T08:56:00Z</dcterms:modified>
</cp:coreProperties>
</file>