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56D6" w14:textId="77777777" w:rsidR="00CF6D65" w:rsidRDefault="00265861">
      <w:pPr>
        <w:rPr>
          <w:sz w:val="40"/>
          <w:szCs w:val="40"/>
        </w:rPr>
      </w:pPr>
      <w:bookmarkStart w:id="0" w:name="_GoBack"/>
      <w:bookmarkEnd w:id="0"/>
      <w:r>
        <w:rPr>
          <w:sz w:val="40"/>
          <w:szCs w:val="40"/>
        </w:rPr>
        <w:t>Presseinformation</w:t>
      </w:r>
    </w:p>
    <w:p w14:paraId="510030D9" w14:textId="77777777" w:rsidR="00CF6D65" w:rsidRDefault="00CF6D65">
      <w:pPr>
        <w:suppressAutoHyphens/>
        <w:spacing w:line="100" w:lineRule="atLeast"/>
        <w:ind w:right="-2"/>
        <w:rPr>
          <w:b/>
          <w:sz w:val="24"/>
        </w:rPr>
      </w:pPr>
    </w:p>
    <w:p w14:paraId="0F5EDE42" w14:textId="77777777" w:rsidR="00580FDF" w:rsidRDefault="00580FDF" w:rsidP="001B25EA">
      <w:pPr>
        <w:suppressAutoHyphens/>
        <w:spacing w:line="360" w:lineRule="auto"/>
        <w:rPr>
          <w:b/>
          <w:sz w:val="24"/>
        </w:rPr>
      </w:pPr>
    </w:p>
    <w:p w14:paraId="45815342" w14:textId="77777777" w:rsidR="00CF6D65" w:rsidRDefault="001A6606" w:rsidP="001B25EA">
      <w:pPr>
        <w:suppressAutoHyphens/>
        <w:spacing w:line="360" w:lineRule="auto"/>
        <w:rPr>
          <w:b/>
          <w:sz w:val="24"/>
        </w:rPr>
      </w:pPr>
      <w:r>
        <w:rPr>
          <w:b/>
          <w:sz w:val="24"/>
        </w:rPr>
        <w:t>TwinTouch: Industrie-Touchscreen</w:t>
      </w:r>
      <w:r w:rsidR="001B25EA">
        <w:rPr>
          <w:b/>
          <w:sz w:val="24"/>
        </w:rPr>
        <w:t>s</w:t>
      </w:r>
      <w:r>
        <w:rPr>
          <w:b/>
          <w:sz w:val="24"/>
        </w:rPr>
        <w:t xml:space="preserve"> mit zusätzlicher </w:t>
      </w:r>
      <w:r w:rsidR="001B25EA">
        <w:rPr>
          <w:b/>
          <w:sz w:val="24"/>
        </w:rPr>
        <w:t>Krafterkenn</w:t>
      </w:r>
      <w:r>
        <w:rPr>
          <w:b/>
          <w:sz w:val="24"/>
        </w:rPr>
        <w:t>ung</w:t>
      </w:r>
    </w:p>
    <w:p w14:paraId="0D63D72F" w14:textId="77777777" w:rsidR="00CF6D65" w:rsidRDefault="00CF6D65">
      <w:pPr>
        <w:suppressAutoHyphens/>
        <w:spacing w:line="360" w:lineRule="auto"/>
        <w:ind w:right="-2"/>
      </w:pPr>
    </w:p>
    <w:p w14:paraId="4A42CF22" w14:textId="7BE33C16" w:rsidR="00580FDF" w:rsidRDefault="00390E11" w:rsidP="001B091B">
      <w:pPr>
        <w:suppressAutoHyphens/>
        <w:spacing w:line="360" w:lineRule="auto"/>
        <w:jc w:val="both"/>
      </w:pPr>
      <w:r w:rsidRPr="00940DAC">
        <w:t xml:space="preserve">RAFI </w:t>
      </w:r>
      <w:r w:rsidR="00663DF0" w:rsidRPr="00663DF0">
        <w:t xml:space="preserve">erweitert </w:t>
      </w:r>
      <w:r w:rsidR="00F72AC1">
        <w:t>sein</w:t>
      </w:r>
      <w:r>
        <w:t xml:space="preserve"> </w:t>
      </w:r>
      <w:r w:rsidR="00870334">
        <w:t>Pr</w:t>
      </w:r>
      <w:r w:rsidR="004F29E3">
        <w:t>o</w:t>
      </w:r>
      <w:r w:rsidR="00870334">
        <w:t xml:space="preserve">gramm </w:t>
      </w:r>
      <w:r>
        <w:t xml:space="preserve">industrietauglicher kapazitiver </w:t>
      </w:r>
      <w:r w:rsidR="001200FB">
        <w:t>GLASSCAPE-</w:t>
      </w:r>
      <w:r>
        <w:t xml:space="preserve">Touchscreens </w:t>
      </w:r>
      <w:r w:rsidR="004F29E3">
        <w:t xml:space="preserve">um </w:t>
      </w:r>
      <w:r w:rsidR="003922DE">
        <w:t>die</w:t>
      </w:r>
      <w:r w:rsidR="004F29E3">
        <w:t xml:space="preserve"> </w:t>
      </w:r>
      <w:r>
        <w:t xml:space="preserve">neue </w:t>
      </w:r>
      <w:r w:rsidR="0070605E">
        <w:t>Eingabetechnologie</w:t>
      </w:r>
      <w:r w:rsidR="003922DE">
        <w:t xml:space="preserve"> </w:t>
      </w:r>
      <w:r w:rsidR="003922DE" w:rsidRPr="00663DF0">
        <w:t>TwinTouch</w:t>
      </w:r>
      <w:r w:rsidR="004565F1">
        <w:t>,</w:t>
      </w:r>
      <w:r w:rsidR="0025503A">
        <w:t xml:space="preserve"> bei der </w:t>
      </w:r>
      <w:r w:rsidR="00AF3066">
        <w:t>neben</w:t>
      </w:r>
      <w:r w:rsidR="0025503A">
        <w:t xml:space="preserve"> </w:t>
      </w:r>
      <w:r w:rsidR="0026376B" w:rsidRPr="0026376B">
        <w:t xml:space="preserve">Berührungen </w:t>
      </w:r>
      <w:r w:rsidR="003922DE">
        <w:t xml:space="preserve">des Panels auch </w:t>
      </w:r>
      <w:r w:rsidR="0026376B" w:rsidRPr="0026376B">
        <w:t>d</w:t>
      </w:r>
      <w:r w:rsidR="00F43CC9">
        <w:t>ie</w:t>
      </w:r>
      <w:r w:rsidR="0026376B" w:rsidRPr="0026376B">
        <w:t xml:space="preserve"> </w:t>
      </w:r>
      <w:r w:rsidR="00DA5A72">
        <w:t>da</w:t>
      </w:r>
      <w:r w:rsidR="0025503A">
        <w:t xml:space="preserve">für </w:t>
      </w:r>
      <w:r w:rsidR="003922DE">
        <w:t>aufgewendete</w:t>
      </w:r>
      <w:r w:rsidR="0025503A">
        <w:t>n</w:t>
      </w:r>
      <w:r w:rsidR="003922DE">
        <w:t xml:space="preserve"> </w:t>
      </w:r>
      <w:r w:rsidR="00F43CC9">
        <w:t>Kr</w:t>
      </w:r>
      <w:r w:rsidR="0025503A">
        <w:t>ä</w:t>
      </w:r>
      <w:r w:rsidR="00F43CC9">
        <w:t>ft</w:t>
      </w:r>
      <w:r w:rsidR="0025503A">
        <w:t>e</w:t>
      </w:r>
      <w:r w:rsidR="00F43CC9">
        <w:t xml:space="preserve"> </w:t>
      </w:r>
      <w:r w:rsidR="0026376B" w:rsidRPr="0026376B">
        <w:t>aus</w:t>
      </w:r>
      <w:r w:rsidR="00EA03CE">
        <w:t>ge</w:t>
      </w:r>
      <w:r w:rsidR="0026376B" w:rsidRPr="0026376B">
        <w:t>wertet</w:t>
      </w:r>
      <w:r w:rsidR="0025503A">
        <w:t xml:space="preserve"> werden</w:t>
      </w:r>
      <w:r w:rsidR="0026376B">
        <w:t xml:space="preserve">. </w:t>
      </w:r>
      <w:bookmarkStart w:id="1" w:name="_Hlk534978081"/>
    </w:p>
    <w:p w14:paraId="62542875" w14:textId="77777777" w:rsidR="00EA03CE" w:rsidRDefault="00EA03CE" w:rsidP="001B091B">
      <w:pPr>
        <w:suppressAutoHyphens/>
        <w:spacing w:line="360" w:lineRule="auto"/>
        <w:jc w:val="both"/>
        <w:rPr>
          <w:color w:val="FF0000"/>
        </w:rPr>
      </w:pPr>
    </w:p>
    <w:tbl>
      <w:tblPr>
        <w:tblW w:w="7226" w:type="dxa"/>
        <w:tblCellMar>
          <w:left w:w="70" w:type="dxa"/>
          <w:right w:w="70" w:type="dxa"/>
        </w:tblCellMar>
        <w:tblLook w:val="04A0" w:firstRow="1" w:lastRow="0" w:firstColumn="1" w:lastColumn="0" w:noHBand="0" w:noVBand="1"/>
      </w:tblPr>
      <w:tblGrid>
        <w:gridCol w:w="7226"/>
      </w:tblGrid>
      <w:tr w:rsidR="001B091B" w14:paraId="2FE5F6C8" w14:textId="77777777" w:rsidTr="002B2271">
        <w:tc>
          <w:tcPr>
            <w:tcW w:w="7226" w:type="dxa"/>
            <w:shd w:val="clear" w:color="auto" w:fill="auto"/>
          </w:tcPr>
          <w:p w14:paraId="001139E0" w14:textId="77777777" w:rsidR="001B091B" w:rsidRDefault="00580FDF" w:rsidP="00410F80">
            <w:pPr>
              <w:suppressAutoHyphens/>
              <w:spacing w:line="360" w:lineRule="auto"/>
              <w:ind w:left="-72"/>
              <w:jc w:val="center"/>
              <w:rPr>
                <w:sz w:val="18"/>
              </w:rPr>
            </w:pPr>
            <w:r>
              <w:rPr>
                <w:noProof/>
                <w:lang w:val="en-US"/>
              </w:rPr>
              <w:drawing>
                <wp:inline distT="0" distB="0" distL="0" distR="0" wp14:anchorId="41721F4F" wp14:editId="5227E992">
                  <wp:extent cx="4434840" cy="2505685"/>
                  <wp:effectExtent l="0" t="0" r="381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659" cy="2533833"/>
                          </a:xfrm>
                          <a:prstGeom prst="rect">
                            <a:avLst/>
                          </a:prstGeom>
                          <a:noFill/>
                          <a:ln>
                            <a:noFill/>
                          </a:ln>
                        </pic:spPr>
                      </pic:pic>
                    </a:graphicData>
                  </a:graphic>
                </wp:inline>
              </w:drawing>
            </w:r>
          </w:p>
        </w:tc>
      </w:tr>
      <w:tr w:rsidR="001B091B" w14:paraId="3D3AC328" w14:textId="77777777" w:rsidTr="002B2271">
        <w:tc>
          <w:tcPr>
            <w:tcW w:w="7226" w:type="dxa"/>
            <w:shd w:val="clear" w:color="auto" w:fill="auto"/>
          </w:tcPr>
          <w:p w14:paraId="2439172C" w14:textId="77777777" w:rsidR="001B091B" w:rsidRDefault="001B091B" w:rsidP="002B2271">
            <w:pPr>
              <w:suppressAutoHyphens/>
              <w:jc w:val="center"/>
            </w:pPr>
            <w:r>
              <w:rPr>
                <w:b/>
                <w:sz w:val="18"/>
              </w:rPr>
              <w:t>Bild:</w:t>
            </w:r>
            <w:r>
              <w:rPr>
                <w:sz w:val="18"/>
              </w:rPr>
              <w:t xml:space="preserve"> </w:t>
            </w:r>
            <w:r w:rsidR="00DE4BB7">
              <w:rPr>
                <w:sz w:val="18"/>
              </w:rPr>
              <w:t xml:space="preserve">Die neuen </w:t>
            </w:r>
            <w:r w:rsidR="00410F80">
              <w:rPr>
                <w:sz w:val="18"/>
              </w:rPr>
              <w:t xml:space="preserve">TwinTouch-Panels </w:t>
            </w:r>
            <w:r w:rsidR="001D47D4">
              <w:rPr>
                <w:sz w:val="18"/>
              </w:rPr>
              <w:t xml:space="preserve">bieten </w:t>
            </w:r>
            <w:r w:rsidR="003A56E5">
              <w:rPr>
                <w:sz w:val="18"/>
              </w:rPr>
              <w:t>durch</w:t>
            </w:r>
            <w:r w:rsidR="009E2837">
              <w:rPr>
                <w:sz w:val="18"/>
              </w:rPr>
              <w:t xml:space="preserve"> </w:t>
            </w:r>
            <w:r w:rsidR="001D47D4">
              <w:rPr>
                <w:sz w:val="18"/>
              </w:rPr>
              <w:t xml:space="preserve">kombinierte Touch- und Krafterkennung </w:t>
            </w:r>
            <w:r w:rsidR="009E2837">
              <w:rPr>
                <w:sz w:val="18"/>
              </w:rPr>
              <w:t xml:space="preserve">erhöhte Bediensicherheit und neue Eingabemöglichkeiten </w:t>
            </w:r>
          </w:p>
        </w:tc>
      </w:tr>
    </w:tbl>
    <w:p w14:paraId="125DBD03" w14:textId="77777777" w:rsidR="001B091B" w:rsidRDefault="001B091B" w:rsidP="001B091B">
      <w:pPr>
        <w:suppressAutoHyphens/>
        <w:spacing w:line="360" w:lineRule="auto"/>
        <w:jc w:val="both"/>
      </w:pPr>
    </w:p>
    <w:p w14:paraId="3128C9A6" w14:textId="5B36CDA6" w:rsidR="00B42DBE" w:rsidRDefault="0058670A" w:rsidP="007A7B9F">
      <w:pPr>
        <w:suppressAutoHyphens/>
        <w:spacing w:line="360" w:lineRule="auto"/>
        <w:jc w:val="both"/>
      </w:pPr>
      <w:r>
        <w:t>Die</w:t>
      </w:r>
      <w:r w:rsidR="004565F1">
        <w:t xml:space="preserve"> </w:t>
      </w:r>
      <w:r w:rsidR="00DA5A72">
        <w:t xml:space="preserve">kombinierte Berührungs-/Kraftmessung </w:t>
      </w:r>
      <w:r w:rsidR="003A3C42">
        <w:t xml:space="preserve">von TwinTouch </w:t>
      </w:r>
      <w:r w:rsidR="001A4FF8">
        <w:t xml:space="preserve">erhöht </w:t>
      </w:r>
      <w:r w:rsidR="003A3C42">
        <w:t xml:space="preserve">die </w:t>
      </w:r>
      <w:r w:rsidR="00DA5A72">
        <w:t>Bediensicherheit</w:t>
      </w:r>
      <w:r w:rsidR="00F43CC9">
        <w:t xml:space="preserve"> </w:t>
      </w:r>
      <w:r w:rsidR="003A3C42">
        <w:t>deutlich</w:t>
      </w:r>
      <w:r w:rsidR="00424114">
        <w:t xml:space="preserve">. </w:t>
      </w:r>
      <w:r>
        <w:t>K</w:t>
      </w:r>
      <w:r w:rsidR="00F43CC9">
        <w:t>apazitive Schalt</w:t>
      </w:r>
      <w:r w:rsidR="005C0E37">
        <w:t>- bzw. Eingabe</w:t>
      </w:r>
      <w:r w:rsidR="00F43CC9">
        <w:t xml:space="preserve">flächen </w:t>
      </w:r>
      <w:r w:rsidR="00FF4DCF">
        <w:t xml:space="preserve">der Bedienoberfläche </w:t>
      </w:r>
      <w:r w:rsidR="001A4FF8">
        <w:t xml:space="preserve">lassen sich so </w:t>
      </w:r>
      <w:r w:rsidR="00465DA9">
        <w:t>konfigurier</w:t>
      </w:r>
      <w:r>
        <w:t>en</w:t>
      </w:r>
      <w:r w:rsidR="001A4FF8">
        <w:t xml:space="preserve">, </w:t>
      </w:r>
      <w:r w:rsidR="00465DA9">
        <w:t xml:space="preserve">dass </w:t>
      </w:r>
      <w:r w:rsidR="001A4FF8">
        <w:t xml:space="preserve">zu ihrer Betätigung </w:t>
      </w:r>
      <w:r w:rsidR="00121211">
        <w:t xml:space="preserve">außer </w:t>
      </w:r>
      <w:r w:rsidR="00A673D7">
        <w:t>d</w:t>
      </w:r>
      <w:r w:rsidR="001A4FF8">
        <w:t xml:space="preserve">er </w:t>
      </w:r>
      <w:r w:rsidR="00121211">
        <w:t>Touch-</w:t>
      </w:r>
      <w:r w:rsidR="00A673D7">
        <w:t>Aktivierung</w:t>
      </w:r>
      <w:r w:rsidR="00121211">
        <w:t xml:space="preserve"> </w:t>
      </w:r>
      <w:r w:rsidR="00F43CC9">
        <w:t>auch ein</w:t>
      </w:r>
      <w:r w:rsidR="005C0E37">
        <w:t>e</w:t>
      </w:r>
      <w:r w:rsidR="00F43CC9">
        <w:t xml:space="preserve"> definier</w:t>
      </w:r>
      <w:r w:rsidR="002300A0">
        <w:t>te</w:t>
      </w:r>
      <w:r w:rsidR="00F43CC9">
        <w:t xml:space="preserve"> Druck</w:t>
      </w:r>
      <w:r w:rsidR="005C0E37">
        <w:t>kraft</w:t>
      </w:r>
      <w:r w:rsidR="00424114">
        <w:t xml:space="preserve"> </w:t>
      </w:r>
      <w:r w:rsidR="005C0E37">
        <w:t>erforder</w:t>
      </w:r>
      <w:r w:rsidR="007E1FB8">
        <w:t>lich ist</w:t>
      </w:r>
      <w:r w:rsidR="001A4FF8">
        <w:t xml:space="preserve">. </w:t>
      </w:r>
      <w:r w:rsidR="00DB5C57" w:rsidRPr="00DB5C57">
        <w:t xml:space="preserve">Fehlauslösungen </w:t>
      </w:r>
      <w:r w:rsidR="00DB5C57">
        <w:t xml:space="preserve">durch </w:t>
      </w:r>
      <w:r w:rsidR="00A673D7">
        <w:t xml:space="preserve">unbeabsichtigten Kontakt </w:t>
      </w:r>
      <w:r w:rsidR="00EE0A13">
        <w:t>mi</w:t>
      </w:r>
      <w:r w:rsidR="000C4067">
        <w:t>t</w:t>
      </w:r>
      <w:r w:rsidR="00EE0A13">
        <w:t xml:space="preserve"> dem Touchscreen </w:t>
      </w:r>
      <w:r w:rsidR="001A4FF8">
        <w:t xml:space="preserve">sind </w:t>
      </w:r>
      <w:r w:rsidR="001B290F">
        <w:t xml:space="preserve">damit </w:t>
      </w:r>
      <w:r w:rsidR="00DB5C57" w:rsidRPr="00DB5C57">
        <w:t xml:space="preserve">ausgeschlossen. </w:t>
      </w:r>
      <w:bookmarkEnd w:id="1"/>
      <w:r w:rsidR="005C0E37">
        <w:t xml:space="preserve">Die </w:t>
      </w:r>
      <w:r w:rsidR="005C0E37" w:rsidRPr="005C0E37">
        <w:t>Schaltschwellen für d</w:t>
      </w:r>
      <w:r w:rsidR="001A4FF8">
        <w:t>ie</w:t>
      </w:r>
      <w:r w:rsidR="005C0E37" w:rsidRPr="005C0E37">
        <w:t xml:space="preserve"> auszulösende Druck</w:t>
      </w:r>
      <w:r w:rsidR="001A4FF8">
        <w:t>kraft</w:t>
      </w:r>
      <w:r w:rsidR="005C0E37" w:rsidRPr="005C0E37">
        <w:t xml:space="preserve"> </w:t>
      </w:r>
      <w:r w:rsidR="00DB5C57">
        <w:t xml:space="preserve">lassen sich individuell </w:t>
      </w:r>
      <w:r w:rsidR="005C0E37" w:rsidRPr="005C0E37">
        <w:t xml:space="preserve">per Software </w:t>
      </w:r>
      <w:r w:rsidR="00DB5C57">
        <w:t>anpassen</w:t>
      </w:r>
      <w:r w:rsidR="005C0E37" w:rsidRPr="005C0E37">
        <w:t>.</w:t>
      </w:r>
      <w:r w:rsidR="001E5E21">
        <w:t xml:space="preserve"> </w:t>
      </w:r>
      <w:r w:rsidR="00EE0A13">
        <w:t>Z</w:t>
      </w:r>
      <w:r w:rsidR="00AF7DAC">
        <w:t xml:space="preserve">ugleich ermöglicht die </w:t>
      </w:r>
      <w:r w:rsidR="001B290F">
        <w:t>kombinierte Auswertung von Touch-</w:t>
      </w:r>
      <w:r w:rsidR="000C4067">
        <w:t xml:space="preserve"> und mechanischer Betätigung </w:t>
      </w:r>
      <w:r w:rsidR="0061332D">
        <w:t xml:space="preserve">auch </w:t>
      </w:r>
      <w:r w:rsidR="000C4067">
        <w:t xml:space="preserve">eine </w:t>
      </w:r>
      <w:r w:rsidR="00EE0A13">
        <w:t xml:space="preserve">Implementierung </w:t>
      </w:r>
      <w:r w:rsidR="00B4469B">
        <w:t>zusätzliche</w:t>
      </w:r>
      <w:r w:rsidR="001B290F">
        <w:t>r</w:t>
      </w:r>
      <w:r w:rsidR="00B4469B">
        <w:t xml:space="preserve"> Eingabeebenen</w:t>
      </w:r>
      <w:r w:rsidR="0061332D">
        <w:t>. Dazu zählen</w:t>
      </w:r>
      <w:r w:rsidR="00D34B99">
        <w:t xml:space="preserve"> </w:t>
      </w:r>
      <w:r w:rsidR="00E02B0C">
        <w:t xml:space="preserve">beispielsweise </w:t>
      </w:r>
      <w:r w:rsidR="00EF0AAB" w:rsidRPr="00EF0AAB">
        <w:t>de</w:t>
      </w:r>
      <w:r w:rsidR="0061332D">
        <w:t>r</w:t>
      </w:r>
      <w:r w:rsidR="00EF0AAB" w:rsidRPr="00EF0AAB">
        <w:t xml:space="preserve"> Aufruf von Kontextmenüs </w:t>
      </w:r>
      <w:r w:rsidR="008F5FF2">
        <w:t xml:space="preserve">per Druck oder </w:t>
      </w:r>
      <w:r w:rsidR="00EF0AAB">
        <w:t>Paramete</w:t>
      </w:r>
      <w:r w:rsidR="008F5FF2">
        <w:t xml:space="preserve">r-Anpassungen </w:t>
      </w:r>
      <w:r w:rsidR="007E1FB8">
        <w:t xml:space="preserve">durch </w:t>
      </w:r>
      <w:r w:rsidR="008F5FF2">
        <w:t xml:space="preserve">variierende </w:t>
      </w:r>
      <w:r w:rsidR="006041DE">
        <w:t>Kraft</w:t>
      </w:r>
      <w:r w:rsidR="008F5FF2">
        <w:t>ausübung</w:t>
      </w:r>
      <w:r w:rsidR="0061332D">
        <w:t xml:space="preserve"> auf denselben Button</w:t>
      </w:r>
      <w:r w:rsidR="006041DE">
        <w:t xml:space="preserve">. </w:t>
      </w:r>
      <w:r w:rsidR="00195D86">
        <w:t xml:space="preserve">Das TwinTouch-System mit wegloser Druckkraftmessung </w:t>
      </w:r>
      <w:r w:rsidR="00233857">
        <w:t>gewährleistet</w:t>
      </w:r>
      <w:r w:rsidR="004D4904">
        <w:t xml:space="preserve"> </w:t>
      </w:r>
      <w:r w:rsidR="007D6799">
        <w:t xml:space="preserve">einen </w:t>
      </w:r>
      <w:r w:rsidR="00663C8D">
        <w:t xml:space="preserve">zuverlässigen </w:t>
      </w:r>
      <w:r w:rsidR="007D6799">
        <w:t xml:space="preserve">Schutz </w:t>
      </w:r>
      <w:r w:rsidR="00195D86">
        <w:t xml:space="preserve">von </w:t>
      </w:r>
      <w:r w:rsidR="007D6799">
        <w:t>IP65</w:t>
      </w:r>
      <w:r w:rsidR="00B64B60">
        <w:t xml:space="preserve">. </w:t>
      </w:r>
    </w:p>
    <w:p w14:paraId="04CCA991" w14:textId="77777777" w:rsidR="00B42DBE" w:rsidRDefault="00B42DBE" w:rsidP="007A7B9F">
      <w:pPr>
        <w:suppressAutoHyphens/>
        <w:spacing w:line="360" w:lineRule="auto"/>
        <w:jc w:val="both"/>
      </w:pPr>
    </w:p>
    <w:p w14:paraId="3A91E55C" w14:textId="472D9035" w:rsidR="00CF6D65" w:rsidRDefault="00650F5B" w:rsidP="00A11B02">
      <w:pPr>
        <w:suppressAutoHyphens/>
        <w:spacing w:line="360" w:lineRule="auto"/>
        <w:jc w:val="both"/>
      </w:pPr>
      <w:hyperlink r:id="rId8" w:history="1">
        <w:r w:rsidR="00CF3B1A" w:rsidRPr="006E47B2">
          <w:rPr>
            <w:rStyle w:val="Hyperlink"/>
          </w:rPr>
          <w:t>Zum Video:</w:t>
        </w:r>
      </w:hyperlink>
      <w:r w:rsidR="00CF3B1A">
        <w:t xml:space="preserve"> </w:t>
      </w:r>
      <w:r w:rsidR="00EA03CE" w:rsidRPr="00EA03CE">
        <w:t>www.youtube.com/watch?v=xt4G22aXLsA</w:t>
      </w:r>
    </w:p>
    <w:p w14:paraId="0A18D16B" w14:textId="3BB88159" w:rsidR="00CF6D65" w:rsidRDefault="00650F5B" w:rsidP="00CF3B1A">
      <w:pPr>
        <w:suppressAutoHyphens/>
        <w:spacing w:line="360" w:lineRule="auto"/>
      </w:pPr>
      <w:hyperlink r:id="rId9" w:history="1">
        <w:r w:rsidR="00CF3B1A" w:rsidRPr="006E47B2">
          <w:rPr>
            <w:rStyle w:val="Hyperlink"/>
          </w:rPr>
          <w:t>Zur Homepage:</w:t>
        </w:r>
      </w:hyperlink>
      <w:r w:rsidR="00CF3B1A">
        <w:t xml:space="preserve"> </w:t>
      </w:r>
      <w:r w:rsidR="00EA03CE" w:rsidRPr="00EA03CE">
        <w:t>www.rafi.de/de/produkte/bedien-systemehmi/kapazitive-systemeglasscape/</w:t>
      </w:r>
      <w:r w:rsidR="00CF3B1A">
        <w:br/>
      </w:r>
      <w:hyperlink r:id="rId10" w:history="1">
        <w:r w:rsidR="00CF3B1A" w:rsidRPr="006E47B2">
          <w:rPr>
            <w:rStyle w:val="Hyperlink"/>
          </w:rPr>
          <w:t>Zum pdf-Prospekt:</w:t>
        </w:r>
      </w:hyperlink>
      <w:r w:rsidR="00CF3B1A">
        <w:t xml:space="preserve"> </w:t>
      </w:r>
      <w:r w:rsidR="00EA03CE" w:rsidRPr="00EA03CE">
        <w:t>www.rafi.de/de/unternehmen/download-center/pdf-broschueren-flyer/</w:t>
      </w:r>
    </w:p>
    <w:p w14:paraId="7526A4EC" w14:textId="77777777" w:rsidR="00CF3B1A" w:rsidRDefault="00CF3B1A" w:rsidP="00CF3B1A">
      <w:pPr>
        <w:suppressAutoHyphens/>
        <w:spacing w:line="360" w:lineRule="auto"/>
      </w:pPr>
    </w:p>
    <w:tbl>
      <w:tblPr>
        <w:tblW w:w="7184" w:type="dxa"/>
        <w:tblCellMar>
          <w:left w:w="70" w:type="dxa"/>
          <w:right w:w="70" w:type="dxa"/>
        </w:tblCellMar>
        <w:tblLook w:val="04A0" w:firstRow="1" w:lastRow="0" w:firstColumn="1" w:lastColumn="0" w:noHBand="0" w:noVBand="1"/>
      </w:tblPr>
      <w:tblGrid>
        <w:gridCol w:w="1150"/>
        <w:gridCol w:w="3882"/>
        <w:gridCol w:w="850"/>
        <w:gridCol w:w="1302"/>
      </w:tblGrid>
      <w:tr w:rsidR="00CF6D65" w14:paraId="3DBCFD1F" w14:textId="77777777">
        <w:trPr>
          <w:cantSplit/>
        </w:trPr>
        <w:tc>
          <w:tcPr>
            <w:tcW w:w="1150" w:type="dxa"/>
            <w:shd w:val="clear" w:color="auto" w:fill="auto"/>
          </w:tcPr>
          <w:p w14:paraId="6691F4A2" w14:textId="77777777" w:rsidR="00CF6D65" w:rsidRDefault="00265861">
            <w:pPr>
              <w:suppressAutoHyphens/>
              <w:jc w:val="both"/>
              <w:rPr>
                <w:sz w:val="18"/>
              </w:rPr>
            </w:pPr>
            <w:r>
              <w:rPr>
                <w:sz w:val="18"/>
              </w:rPr>
              <w:t>Bilder:</w:t>
            </w:r>
          </w:p>
        </w:tc>
        <w:tc>
          <w:tcPr>
            <w:tcW w:w="3881" w:type="dxa"/>
            <w:shd w:val="clear" w:color="auto" w:fill="auto"/>
          </w:tcPr>
          <w:p w14:paraId="0862D148" w14:textId="6F02A999" w:rsidR="00CF6D65" w:rsidRDefault="00EA03CE">
            <w:pPr>
              <w:suppressAutoHyphens/>
              <w:rPr>
                <w:sz w:val="18"/>
              </w:rPr>
            </w:pPr>
            <w:r w:rsidRPr="00EA03CE">
              <w:rPr>
                <w:sz w:val="18"/>
              </w:rPr>
              <w:t>TwinTouch_2000px</w:t>
            </w:r>
          </w:p>
        </w:tc>
        <w:tc>
          <w:tcPr>
            <w:tcW w:w="850" w:type="dxa"/>
            <w:shd w:val="clear" w:color="auto" w:fill="auto"/>
          </w:tcPr>
          <w:p w14:paraId="5203763F" w14:textId="77777777" w:rsidR="00CF6D65" w:rsidRDefault="00265861">
            <w:pPr>
              <w:suppressAutoHyphens/>
              <w:jc w:val="both"/>
              <w:rPr>
                <w:sz w:val="18"/>
              </w:rPr>
            </w:pPr>
            <w:r>
              <w:rPr>
                <w:sz w:val="18"/>
              </w:rPr>
              <w:t>Zeichen:</w:t>
            </w:r>
          </w:p>
        </w:tc>
        <w:tc>
          <w:tcPr>
            <w:tcW w:w="1302" w:type="dxa"/>
            <w:shd w:val="clear" w:color="auto" w:fill="auto"/>
          </w:tcPr>
          <w:p w14:paraId="69DC267A" w14:textId="583E1E85" w:rsidR="00CF6D65" w:rsidRDefault="00233857">
            <w:pPr>
              <w:suppressAutoHyphens/>
              <w:jc w:val="right"/>
              <w:rPr>
                <w:sz w:val="18"/>
              </w:rPr>
            </w:pPr>
            <w:r>
              <w:rPr>
                <w:sz w:val="18"/>
              </w:rPr>
              <w:t>1.</w:t>
            </w:r>
            <w:r w:rsidR="00EA03CE">
              <w:rPr>
                <w:sz w:val="18"/>
              </w:rPr>
              <w:t>085</w:t>
            </w:r>
          </w:p>
        </w:tc>
      </w:tr>
      <w:tr w:rsidR="00CF6D65" w14:paraId="579D9DC6" w14:textId="77777777">
        <w:trPr>
          <w:cantSplit/>
        </w:trPr>
        <w:tc>
          <w:tcPr>
            <w:tcW w:w="1150" w:type="dxa"/>
            <w:shd w:val="clear" w:color="auto" w:fill="auto"/>
          </w:tcPr>
          <w:p w14:paraId="16477032" w14:textId="77777777" w:rsidR="00CF6D65" w:rsidRDefault="00265861">
            <w:pPr>
              <w:suppressAutoHyphens/>
              <w:spacing w:before="120"/>
              <w:jc w:val="both"/>
              <w:rPr>
                <w:sz w:val="18"/>
              </w:rPr>
            </w:pPr>
            <w:r>
              <w:rPr>
                <w:sz w:val="18"/>
              </w:rPr>
              <w:t>Dateiname:</w:t>
            </w:r>
          </w:p>
        </w:tc>
        <w:tc>
          <w:tcPr>
            <w:tcW w:w="3881" w:type="dxa"/>
            <w:shd w:val="clear" w:color="auto" w:fill="auto"/>
          </w:tcPr>
          <w:p w14:paraId="4DA7F126" w14:textId="77777777" w:rsidR="00CF6D65" w:rsidRDefault="008C0B01">
            <w:pPr>
              <w:suppressAutoHyphens/>
              <w:spacing w:before="120"/>
              <w:rPr>
                <w:sz w:val="18"/>
              </w:rPr>
            </w:pPr>
            <w:r w:rsidRPr="008C0B01">
              <w:rPr>
                <w:sz w:val="18"/>
              </w:rPr>
              <w:t>201901004_pm_twintouch.docx</w:t>
            </w:r>
          </w:p>
        </w:tc>
        <w:tc>
          <w:tcPr>
            <w:tcW w:w="850" w:type="dxa"/>
            <w:shd w:val="clear" w:color="auto" w:fill="auto"/>
          </w:tcPr>
          <w:p w14:paraId="3EDB277B" w14:textId="77777777" w:rsidR="00CF6D65" w:rsidRDefault="00265861">
            <w:pPr>
              <w:suppressAutoHyphens/>
              <w:spacing w:before="120"/>
              <w:jc w:val="both"/>
              <w:rPr>
                <w:sz w:val="18"/>
              </w:rPr>
            </w:pPr>
            <w:r>
              <w:rPr>
                <w:sz w:val="18"/>
              </w:rPr>
              <w:t>Datum:</w:t>
            </w:r>
          </w:p>
        </w:tc>
        <w:tc>
          <w:tcPr>
            <w:tcW w:w="1302" w:type="dxa"/>
            <w:shd w:val="clear" w:color="auto" w:fill="auto"/>
          </w:tcPr>
          <w:p w14:paraId="78866A01" w14:textId="00077CD3" w:rsidR="00CF6D65" w:rsidRDefault="00650F5B">
            <w:pPr>
              <w:suppressAutoHyphens/>
              <w:spacing w:before="120"/>
              <w:jc w:val="right"/>
              <w:rPr>
                <w:sz w:val="18"/>
              </w:rPr>
            </w:pPr>
            <w:r>
              <w:rPr>
                <w:sz w:val="18"/>
              </w:rPr>
              <w:t>27.03.2019</w:t>
            </w:r>
          </w:p>
        </w:tc>
      </w:tr>
    </w:tbl>
    <w:p w14:paraId="54BAA70B" w14:textId="30109302" w:rsidR="00CF6D65" w:rsidRDefault="00265861">
      <w:pPr>
        <w:suppressAutoHyphens/>
        <w:spacing w:before="120" w:after="120"/>
        <w:rPr>
          <w:b/>
          <w:sz w:val="16"/>
        </w:rPr>
      </w:pPr>
      <w:r>
        <w:rPr>
          <w:b/>
          <w:sz w:val="16"/>
        </w:rPr>
        <w:t>Unternehmenshintergrund</w:t>
      </w:r>
      <w:r w:rsidR="00EA03CE">
        <w:rPr>
          <w:b/>
          <w:sz w:val="16"/>
        </w:rPr>
        <w:t xml:space="preserve"> </w:t>
      </w:r>
      <w:r>
        <w:rPr>
          <w:b/>
          <w:sz w:val="16"/>
        </w:rPr>
        <w:t>RAFI Gruppe</w:t>
      </w:r>
    </w:p>
    <w:p w14:paraId="17A74357" w14:textId="77777777" w:rsidR="00CF6D65" w:rsidRDefault="00265861">
      <w:pPr>
        <w:suppressAutoHyphens/>
        <w:jc w:val="both"/>
        <w:rPr>
          <w:sz w:val="16"/>
          <w:szCs w:val="16"/>
        </w:rPr>
      </w:pPr>
      <w:r>
        <w:rPr>
          <w:sz w:val="16"/>
          <w:szCs w:val="16"/>
        </w:rPr>
        <w:t>Das im Jahr 1900 als „Elektrotechnisches Institut“ gegründete Unternehmen entwickelt und produziert heute elektromechanische Bauelemente wie z.B. Taster und Schalter, Bediensysteme, wie z.B. Touch Screens und Tastaturen sowie elektronische Baugruppen und Systeme für die Mensch-Maschine-Kommunikation. RAFI Produkte werden in mehr als 30 Branchen eingesetzt, z.B. in der Elektromedizin, im Maschinenbau, in Straßen- und Schienenfahrzeugen, in Haushaltsgeräten sowie in der Telekommunikation. Die RAFI Gruppe agiert weltweit mit ca. 2.</w:t>
      </w:r>
      <w:r w:rsidR="00D46971">
        <w:rPr>
          <w:sz w:val="16"/>
          <w:szCs w:val="16"/>
        </w:rPr>
        <w:t>5</w:t>
      </w:r>
      <w:r>
        <w:rPr>
          <w:sz w:val="16"/>
          <w:szCs w:val="16"/>
        </w:rPr>
        <w:t>00 Mitarbeitern an zehn Standorten in Deutschland, Europa, China und USA. Der Hauptsitz der RAFI Firmengruppe befindet sich in Berg bei Ravensburg.</w:t>
      </w:r>
    </w:p>
    <w:p w14:paraId="06CF1B21" w14:textId="77777777" w:rsidR="00CF6D65" w:rsidRDefault="00CF6D65">
      <w:pPr>
        <w:pStyle w:val="Textkrper"/>
        <w:suppressAutoHyphens/>
        <w:jc w:val="both"/>
        <w:rPr>
          <w:sz w:val="16"/>
        </w:rPr>
      </w:pPr>
    </w:p>
    <w:tbl>
      <w:tblPr>
        <w:tblW w:w="7158" w:type="dxa"/>
        <w:tblCellMar>
          <w:left w:w="70" w:type="dxa"/>
          <w:right w:w="70" w:type="dxa"/>
        </w:tblCellMar>
        <w:tblLook w:val="04A0" w:firstRow="1" w:lastRow="0" w:firstColumn="1" w:lastColumn="0" w:noHBand="0" w:noVBand="1"/>
      </w:tblPr>
      <w:tblGrid>
        <w:gridCol w:w="3755"/>
        <w:gridCol w:w="1133"/>
        <w:gridCol w:w="2270"/>
      </w:tblGrid>
      <w:tr w:rsidR="00CF6D65" w14:paraId="693627E0" w14:textId="77777777">
        <w:tc>
          <w:tcPr>
            <w:tcW w:w="3755" w:type="dxa"/>
            <w:shd w:val="clear" w:color="auto" w:fill="auto"/>
          </w:tcPr>
          <w:p w14:paraId="52506F25" w14:textId="77777777" w:rsidR="00CF6D65" w:rsidRDefault="00265861">
            <w:pPr>
              <w:rPr>
                <w:b/>
              </w:rPr>
            </w:pPr>
            <w:r>
              <w:rPr>
                <w:b/>
              </w:rPr>
              <w:t>Kontakt:</w:t>
            </w:r>
          </w:p>
          <w:p w14:paraId="72C4B415" w14:textId="77777777" w:rsidR="00CF6D65" w:rsidRDefault="00265861">
            <w:pPr>
              <w:pStyle w:val="Kopfzeile"/>
              <w:tabs>
                <w:tab w:val="left" w:pos="708"/>
              </w:tabs>
              <w:suppressAutoHyphens/>
              <w:rPr>
                <w:b/>
              </w:rPr>
            </w:pPr>
            <w:r>
              <w:rPr>
                <w:b/>
              </w:rPr>
              <w:t>RAFI GmbH &amp; Co. KG</w:t>
            </w:r>
          </w:p>
          <w:p w14:paraId="7F3D7B11" w14:textId="77777777" w:rsidR="00CF6D65" w:rsidRDefault="00265861">
            <w:pPr>
              <w:pStyle w:val="Kopfzeile"/>
              <w:tabs>
                <w:tab w:val="left" w:pos="708"/>
              </w:tabs>
              <w:suppressAutoHyphens/>
              <w:spacing w:before="120" w:after="120"/>
            </w:pPr>
            <w:r>
              <w:t>Artur Krug</w:t>
            </w:r>
          </w:p>
          <w:p w14:paraId="74A73BAD" w14:textId="77777777" w:rsidR="00CF6D65" w:rsidRPr="00CF3B1A" w:rsidRDefault="00265861">
            <w:pPr>
              <w:suppressAutoHyphens/>
              <w:jc w:val="both"/>
              <w:rPr>
                <w:lang w:val="it-IT"/>
              </w:rPr>
            </w:pPr>
            <w:r w:rsidRPr="00CF3B1A">
              <w:rPr>
                <w:lang w:val="it-IT"/>
              </w:rPr>
              <w:t>Ravensburger Straße 128-134</w:t>
            </w:r>
          </w:p>
          <w:p w14:paraId="4EA94978" w14:textId="77777777" w:rsidR="00CF6D65" w:rsidRPr="00CF3B1A" w:rsidRDefault="00265861">
            <w:pPr>
              <w:suppressAutoHyphens/>
              <w:jc w:val="both"/>
              <w:rPr>
                <w:lang w:val="it-IT"/>
              </w:rPr>
            </w:pPr>
            <w:r w:rsidRPr="00CF3B1A">
              <w:rPr>
                <w:lang w:val="it-IT"/>
              </w:rPr>
              <w:t>88276 Berg</w:t>
            </w:r>
          </w:p>
          <w:p w14:paraId="4F74508B" w14:textId="77777777" w:rsidR="00CF6D65" w:rsidRPr="00CF3B1A" w:rsidRDefault="00265861">
            <w:pPr>
              <w:suppressAutoHyphens/>
              <w:spacing w:before="120"/>
              <w:jc w:val="both"/>
              <w:rPr>
                <w:lang w:val="it-IT"/>
              </w:rPr>
            </w:pPr>
            <w:r w:rsidRPr="00CF3B1A">
              <w:rPr>
                <w:lang w:val="it-IT"/>
              </w:rPr>
              <w:t>Tel.: 0751 89-1307</w:t>
            </w:r>
          </w:p>
          <w:p w14:paraId="3C42B711" w14:textId="77777777" w:rsidR="00CF6D65" w:rsidRPr="00CF3B1A" w:rsidRDefault="00265861">
            <w:pPr>
              <w:suppressAutoHyphens/>
              <w:jc w:val="both"/>
              <w:rPr>
                <w:lang w:val="it-IT"/>
              </w:rPr>
            </w:pPr>
            <w:r w:rsidRPr="00CF3B1A">
              <w:rPr>
                <w:lang w:val="it-IT"/>
              </w:rPr>
              <w:t>Fax: 0751 89-1300</w:t>
            </w:r>
          </w:p>
          <w:p w14:paraId="6675E775" w14:textId="77777777" w:rsidR="00CF6D65" w:rsidRPr="00CF3B1A" w:rsidRDefault="00265861">
            <w:pPr>
              <w:suppressAutoHyphens/>
              <w:jc w:val="both"/>
              <w:rPr>
                <w:lang w:val="it-IT"/>
              </w:rPr>
            </w:pPr>
            <w:r w:rsidRPr="00CF3B1A">
              <w:rPr>
                <w:lang w:val="it-IT"/>
              </w:rPr>
              <w:t>E-Mail: artur.krug@rafi.de</w:t>
            </w:r>
          </w:p>
          <w:p w14:paraId="543D5D01" w14:textId="77777777" w:rsidR="00CF6D65" w:rsidRDefault="00265861">
            <w:pPr>
              <w:pStyle w:val="Textkrper"/>
              <w:suppressAutoHyphens/>
              <w:jc w:val="both"/>
              <w:rPr>
                <w:sz w:val="20"/>
              </w:rPr>
            </w:pPr>
            <w:r>
              <w:rPr>
                <w:sz w:val="20"/>
              </w:rPr>
              <w:t>Internet: www.rafi.de</w:t>
            </w:r>
          </w:p>
        </w:tc>
        <w:tc>
          <w:tcPr>
            <w:tcW w:w="1133" w:type="dxa"/>
            <w:shd w:val="clear" w:color="auto" w:fill="auto"/>
          </w:tcPr>
          <w:p w14:paraId="5125BF9C" w14:textId="77777777" w:rsidR="00CF6D65" w:rsidRDefault="00265861">
            <w:pPr>
              <w:pStyle w:val="Textkrper"/>
              <w:suppressAutoHyphens/>
              <w:jc w:val="right"/>
              <w:rPr>
                <w:sz w:val="16"/>
              </w:rPr>
            </w:pPr>
            <w:r>
              <w:rPr>
                <w:noProof/>
                <w:lang w:val="en-US"/>
              </w:rPr>
              <w:drawing>
                <wp:inline distT="0" distB="0" distL="0" distR="0" wp14:anchorId="60387801" wp14:editId="7160A2C4">
                  <wp:extent cx="241300" cy="24130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1"/>
                          <a:stretch>
                            <a:fillRect/>
                          </a:stretch>
                        </pic:blipFill>
                        <pic:spPr bwMode="auto">
                          <a:xfrm>
                            <a:off x="0" y="0"/>
                            <a:ext cx="241300" cy="241300"/>
                          </a:xfrm>
                          <a:prstGeom prst="rect">
                            <a:avLst/>
                          </a:prstGeom>
                        </pic:spPr>
                      </pic:pic>
                    </a:graphicData>
                  </a:graphic>
                </wp:inline>
              </w:drawing>
            </w:r>
          </w:p>
        </w:tc>
        <w:tc>
          <w:tcPr>
            <w:tcW w:w="2270" w:type="dxa"/>
            <w:shd w:val="clear" w:color="auto" w:fill="auto"/>
          </w:tcPr>
          <w:p w14:paraId="3034B21E" w14:textId="77777777" w:rsidR="00CF6D65" w:rsidRDefault="00265861">
            <w:pPr>
              <w:pStyle w:val="Textkrper"/>
              <w:suppressAutoHyphens/>
              <w:jc w:val="both"/>
              <w:rPr>
                <w:sz w:val="16"/>
              </w:rPr>
            </w:pPr>
            <w:r>
              <w:rPr>
                <w:sz w:val="16"/>
              </w:rPr>
              <w:t>gii die Presse-Agentur GmbH</w:t>
            </w:r>
          </w:p>
          <w:p w14:paraId="70A1F8B2" w14:textId="77777777" w:rsidR="00CF6D65" w:rsidRDefault="00265861">
            <w:pPr>
              <w:pStyle w:val="Textkrper"/>
              <w:suppressAutoHyphens/>
              <w:rPr>
                <w:sz w:val="16"/>
              </w:rPr>
            </w:pPr>
            <w:r>
              <w:rPr>
                <w:sz w:val="16"/>
              </w:rPr>
              <w:t>Immanuelkirchstraße 12</w:t>
            </w:r>
          </w:p>
          <w:p w14:paraId="10CEAFAA" w14:textId="77777777" w:rsidR="00CF6D65" w:rsidRDefault="00265861">
            <w:pPr>
              <w:pStyle w:val="Textkrper"/>
              <w:suppressAutoHyphens/>
              <w:jc w:val="both"/>
              <w:rPr>
                <w:sz w:val="16"/>
              </w:rPr>
            </w:pPr>
            <w:r>
              <w:rPr>
                <w:sz w:val="16"/>
              </w:rPr>
              <w:t>10405 Berlin</w:t>
            </w:r>
          </w:p>
          <w:p w14:paraId="6435CEEB" w14:textId="77777777" w:rsidR="00CF6D65" w:rsidRDefault="00265861">
            <w:pPr>
              <w:pStyle w:val="Textkrper"/>
              <w:suppressAutoHyphens/>
              <w:jc w:val="both"/>
              <w:rPr>
                <w:sz w:val="16"/>
              </w:rPr>
            </w:pPr>
            <w:r>
              <w:rPr>
                <w:sz w:val="16"/>
              </w:rPr>
              <w:t>Tel.: 030 53 89 65-0</w:t>
            </w:r>
          </w:p>
          <w:p w14:paraId="7F4FF61E" w14:textId="77777777" w:rsidR="00CF6D65" w:rsidRDefault="00265861">
            <w:pPr>
              <w:pStyle w:val="Textkrper"/>
              <w:suppressAutoHyphens/>
              <w:jc w:val="both"/>
              <w:rPr>
                <w:sz w:val="16"/>
              </w:rPr>
            </w:pPr>
            <w:r>
              <w:rPr>
                <w:sz w:val="16"/>
              </w:rPr>
              <w:t>Fax: 030 53 89 65-29</w:t>
            </w:r>
          </w:p>
          <w:p w14:paraId="39A1DA8E" w14:textId="77777777" w:rsidR="00CF6D65" w:rsidRDefault="00265861">
            <w:pPr>
              <w:pStyle w:val="Textkrper"/>
              <w:suppressAutoHyphens/>
              <w:jc w:val="both"/>
              <w:rPr>
                <w:sz w:val="16"/>
              </w:rPr>
            </w:pPr>
            <w:r>
              <w:rPr>
                <w:sz w:val="16"/>
              </w:rPr>
              <w:t>E-Mail: info@gii.de</w:t>
            </w:r>
          </w:p>
          <w:p w14:paraId="114A4498" w14:textId="77777777" w:rsidR="00CF6D65" w:rsidRDefault="00265861">
            <w:pPr>
              <w:pStyle w:val="Textkrper"/>
              <w:suppressAutoHyphens/>
              <w:jc w:val="both"/>
              <w:rPr>
                <w:sz w:val="16"/>
              </w:rPr>
            </w:pPr>
            <w:r>
              <w:rPr>
                <w:sz w:val="16"/>
              </w:rPr>
              <w:t>Internet: www.gii.de</w:t>
            </w:r>
          </w:p>
        </w:tc>
      </w:tr>
    </w:tbl>
    <w:p w14:paraId="5DA4A01A" w14:textId="77777777" w:rsidR="00CF6D65" w:rsidRDefault="00CF6D65">
      <w:pPr>
        <w:suppressAutoHyphens/>
      </w:pPr>
    </w:p>
    <w:p w14:paraId="0F9EFC96" w14:textId="77777777" w:rsidR="00AF4475" w:rsidRDefault="00AF4475">
      <w:pPr>
        <w:suppressAutoHyphens/>
      </w:pPr>
    </w:p>
    <w:p w14:paraId="614CB2A0" w14:textId="77777777" w:rsidR="00AF4475" w:rsidRDefault="00AF4475">
      <w:pPr>
        <w:suppressAutoHyphens/>
      </w:pPr>
    </w:p>
    <w:p w14:paraId="566D7D70" w14:textId="77777777" w:rsidR="00AF4475" w:rsidRDefault="00AF4475">
      <w:pPr>
        <w:suppressAutoHyphens/>
      </w:pPr>
    </w:p>
    <w:sectPr w:rsidR="00AF4475">
      <w:headerReference w:type="default" r:id="rId12"/>
      <w:headerReference w:type="first" r:id="rId13"/>
      <w:pgSz w:w="11906" w:h="16838"/>
      <w:pgMar w:top="2268" w:right="2835" w:bottom="851" w:left="1985" w:header="720" w:footer="72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9EEC" w14:textId="77777777" w:rsidR="00CB2D61" w:rsidRDefault="00265861">
      <w:r>
        <w:separator/>
      </w:r>
    </w:p>
  </w:endnote>
  <w:endnote w:type="continuationSeparator" w:id="0">
    <w:p w14:paraId="4C8D5326" w14:textId="77777777" w:rsidR="00CB2D61" w:rsidRDefault="0026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FreeSans;Times New Roman">
    <w:altName w:val="Cambria"/>
    <w:panose1 w:val="00000000000000000000"/>
    <w:charset w:val="00"/>
    <w:family w:val="roman"/>
    <w:notTrueType/>
    <w:pitch w:val="default"/>
  </w:font>
  <w:font w:name="FuturaA Bk BT;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D725" w14:textId="77777777" w:rsidR="00CB2D61" w:rsidRDefault="00265861">
      <w:r>
        <w:separator/>
      </w:r>
    </w:p>
  </w:footnote>
  <w:footnote w:type="continuationSeparator" w:id="0">
    <w:p w14:paraId="45CF57D6" w14:textId="77777777" w:rsidR="00CB2D61" w:rsidRDefault="0026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E8E3" w14:textId="77777777" w:rsidR="00CF6D65" w:rsidRDefault="00265861">
    <w:pPr>
      <w:spacing w:before="840"/>
      <w:ind w:left="709" w:hanging="709"/>
    </w:pPr>
    <w:r>
      <w:rPr>
        <w:noProof/>
        <w:lang w:val="en-US"/>
      </w:rPr>
      <w:drawing>
        <wp:anchor distT="0" distB="0" distL="114935" distR="114935" simplePos="0" relativeHeight="251658240" behindDoc="1" locked="0" layoutInCell="1" allowOverlap="1" wp14:anchorId="2BF87316" wp14:editId="7563EE2D">
          <wp:simplePos x="0" y="0"/>
          <wp:positionH relativeFrom="column">
            <wp:posOffset>-71120</wp:posOffset>
          </wp:positionH>
          <wp:positionV relativeFrom="paragraph">
            <wp:posOffset>-99695</wp:posOffset>
          </wp:positionV>
          <wp:extent cx="1263015" cy="506095"/>
          <wp:effectExtent l="0" t="0" r="0" b="0"/>
          <wp:wrapNone/>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embed="rId1"/>
                  <a:stretch>
                    <a:fillRect/>
                  </a:stretch>
                </pic:blipFill>
                <pic:spPr bwMode="auto">
                  <a:xfrm>
                    <a:off x="0" y="0"/>
                    <a:ext cx="1263015" cy="506095"/>
                  </a:xfrm>
                  <a:prstGeom prst="rect">
                    <a:avLst/>
                  </a:prstGeom>
                </pic:spPr>
              </pic:pic>
            </a:graphicData>
          </a:graphic>
        </wp:anchor>
      </w:drawing>
    </w:r>
    <w:r>
      <w:rPr>
        <w:noProof/>
        <w:lang w:val="en-US"/>
      </w:rPr>
      <w:drawing>
        <wp:anchor distT="0" distB="0" distL="114935" distR="114935" simplePos="0" relativeHeight="251659264" behindDoc="1" locked="0" layoutInCell="1" allowOverlap="1" wp14:anchorId="15B536BA" wp14:editId="64013324">
          <wp:simplePos x="0" y="0"/>
          <wp:positionH relativeFrom="page">
            <wp:posOffset>5257800</wp:posOffset>
          </wp:positionH>
          <wp:positionV relativeFrom="margin">
            <wp:posOffset>-1074420</wp:posOffset>
          </wp:positionV>
          <wp:extent cx="1605915" cy="224790"/>
          <wp:effectExtent l="0" t="0" r="0" b="0"/>
          <wp:wrapNone/>
          <wp:docPr id="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pic:cNvPicPr>
                    <a:picLocks noChangeAspect="1" noChangeArrowheads="1"/>
                  </pic:cNvPicPr>
                </pic:nvPicPr>
                <pic:blipFill>
                  <a:blip r:embed="rId2"/>
                  <a:stretch>
                    <a:fillRect/>
                  </a:stretch>
                </pic:blipFill>
                <pic:spPr bwMode="auto">
                  <a:xfrm>
                    <a:off x="0" y="0"/>
                    <a:ext cx="1605915" cy="224790"/>
                  </a:xfrm>
                  <a:prstGeom prst="rect">
                    <a:avLst/>
                  </a:prstGeom>
                </pic:spPr>
              </pic:pic>
            </a:graphicData>
          </a:graphic>
        </wp:anchor>
      </w:drawing>
    </w:r>
    <w:r>
      <w:rPr>
        <w:sz w:val="18"/>
      </w:rPr>
      <w:t xml:space="preserve">Seite </w:t>
    </w:r>
    <w:r>
      <w:rPr>
        <w:sz w:val="18"/>
      </w:rPr>
      <w:fldChar w:fldCharType="begin"/>
    </w:r>
    <w:r>
      <w:instrText>PAGE</w:instrText>
    </w:r>
    <w:r>
      <w:fldChar w:fldCharType="separate"/>
    </w:r>
    <w:r w:rsidR="002D140C">
      <w:rPr>
        <w:noProof/>
      </w:rPr>
      <w:t>2</w:t>
    </w:r>
    <w:r>
      <w:fldChar w:fldCharType="end"/>
    </w:r>
    <w:r>
      <w:rPr>
        <w:rStyle w:val="Seitenzahl"/>
        <w:sz w:val="18"/>
      </w:rPr>
      <w:t>:</w:t>
    </w:r>
    <w:r>
      <w:rPr>
        <w:rStyle w:val="Seitenzahl"/>
        <w:sz w:val="18"/>
      </w:rPr>
      <w:tab/>
    </w:r>
    <w:r w:rsidR="00EE7DD5">
      <w:rPr>
        <w:rStyle w:val="Seitenzahl"/>
        <w:sz w:val="18"/>
      </w:rPr>
      <w:t>TwinTouch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F29B" w14:textId="77777777" w:rsidR="00CF6D65" w:rsidRDefault="00265861">
    <w:pPr>
      <w:pStyle w:val="Kopfzeile"/>
      <w:rPr>
        <w:sz w:val="2"/>
        <w:lang w:eastAsia="de-DE"/>
      </w:rPr>
    </w:pPr>
    <w:r>
      <w:rPr>
        <w:noProof/>
        <w:sz w:val="2"/>
        <w:lang w:val="en-US"/>
      </w:rPr>
      <w:drawing>
        <wp:anchor distT="0" distB="0" distL="114935" distR="114935" simplePos="0" relativeHeight="2" behindDoc="1" locked="0" layoutInCell="1" allowOverlap="1" wp14:anchorId="1D13E76A" wp14:editId="1FA1803D">
          <wp:simplePos x="0" y="0"/>
          <wp:positionH relativeFrom="page">
            <wp:posOffset>5257800</wp:posOffset>
          </wp:positionH>
          <wp:positionV relativeFrom="margin">
            <wp:posOffset>-1073150</wp:posOffset>
          </wp:positionV>
          <wp:extent cx="1605915" cy="22479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605915" cy="224790"/>
                  </a:xfrm>
                  <a:prstGeom prst="rect">
                    <a:avLst/>
                  </a:prstGeom>
                </pic:spPr>
              </pic:pic>
            </a:graphicData>
          </a:graphic>
        </wp:anchor>
      </w:drawing>
    </w:r>
    <w:r>
      <w:rPr>
        <w:noProof/>
        <w:sz w:val="2"/>
        <w:lang w:val="en-US"/>
      </w:rPr>
      <w:drawing>
        <wp:anchor distT="0" distB="0" distL="114935" distR="114935" simplePos="0" relativeHeight="3" behindDoc="1" locked="0" layoutInCell="1" allowOverlap="1" wp14:anchorId="11C15684" wp14:editId="4120BBD4">
          <wp:simplePos x="0" y="0"/>
          <wp:positionH relativeFrom="column">
            <wp:posOffset>-71120</wp:posOffset>
          </wp:positionH>
          <wp:positionV relativeFrom="paragraph">
            <wp:posOffset>-90170</wp:posOffset>
          </wp:positionV>
          <wp:extent cx="1263015" cy="50609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2"/>
                  <a:stretch>
                    <a:fillRect/>
                  </a:stretch>
                </pic:blipFill>
                <pic:spPr bwMode="auto">
                  <a:xfrm>
                    <a:off x="0" y="0"/>
                    <a:ext cx="1263015"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3AD934"/>
    <w:lvl w:ilvl="0">
      <w:numFmt w:val="bullet"/>
      <w:lvlText w:val="*"/>
      <w:lvlJc w:val="left"/>
      <w:pPr>
        <w:ind w:left="0" w:firstLine="0"/>
      </w:pPr>
    </w:lvl>
  </w:abstractNum>
  <w:abstractNum w:abstractNumId="1" w15:restartNumberingAfterBreak="0">
    <w:nsid w:val="661800CF"/>
    <w:multiLevelType w:val="hybridMultilevel"/>
    <w:tmpl w:val="84FE83FE"/>
    <w:lvl w:ilvl="0" w:tplc="194615BA">
      <w:start w:val="1"/>
      <w:numFmt w:val="bullet"/>
      <w:lvlText w:val="・"/>
      <w:lvlJc w:val="left"/>
      <w:pPr>
        <w:tabs>
          <w:tab w:val="num" w:pos="720"/>
        </w:tabs>
        <w:ind w:left="720" w:hanging="360"/>
      </w:pPr>
      <w:rPr>
        <w:rFonts w:ascii="MS Mincho" w:hAnsi="MS Mincho" w:hint="default"/>
      </w:rPr>
    </w:lvl>
    <w:lvl w:ilvl="1" w:tplc="FD4269E4">
      <w:start w:val="1"/>
      <w:numFmt w:val="bullet"/>
      <w:lvlText w:val="・"/>
      <w:lvlJc w:val="left"/>
      <w:pPr>
        <w:tabs>
          <w:tab w:val="num" w:pos="1440"/>
        </w:tabs>
        <w:ind w:left="1440" w:hanging="360"/>
      </w:pPr>
      <w:rPr>
        <w:rFonts w:ascii="MS Mincho" w:hAnsi="MS Mincho" w:hint="default"/>
      </w:rPr>
    </w:lvl>
    <w:lvl w:ilvl="2" w:tplc="CD7239FC" w:tentative="1">
      <w:start w:val="1"/>
      <w:numFmt w:val="bullet"/>
      <w:lvlText w:val="・"/>
      <w:lvlJc w:val="left"/>
      <w:pPr>
        <w:tabs>
          <w:tab w:val="num" w:pos="2160"/>
        </w:tabs>
        <w:ind w:left="2160" w:hanging="360"/>
      </w:pPr>
      <w:rPr>
        <w:rFonts w:ascii="MS Mincho" w:hAnsi="MS Mincho" w:hint="default"/>
      </w:rPr>
    </w:lvl>
    <w:lvl w:ilvl="3" w:tplc="E50CA294" w:tentative="1">
      <w:start w:val="1"/>
      <w:numFmt w:val="bullet"/>
      <w:lvlText w:val="・"/>
      <w:lvlJc w:val="left"/>
      <w:pPr>
        <w:tabs>
          <w:tab w:val="num" w:pos="2880"/>
        </w:tabs>
        <w:ind w:left="2880" w:hanging="360"/>
      </w:pPr>
      <w:rPr>
        <w:rFonts w:ascii="MS Mincho" w:hAnsi="MS Mincho" w:hint="default"/>
      </w:rPr>
    </w:lvl>
    <w:lvl w:ilvl="4" w:tplc="9E5A8ACA" w:tentative="1">
      <w:start w:val="1"/>
      <w:numFmt w:val="bullet"/>
      <w:lvlText w:val="・"/>
      <w:lvlJc w:val="left"/>
      <w:pPr>
        <w:tabs>
          <w:tab w:val="num" w:pos="3600"/>
        </w:tabs>
        <w:ind w:left="3600" w:hanging="360"/>
      </w:pPr>
      <w:rPr>
        <w:rFonts w:ascii="MS Mincho" w:hAnsi="MS Mincho" w:hint="default"/>
      </w:rPr>
    </w:lvl>
    <w:lvl w:ilvl="5" w:tplc="EAAEBEA8" w:tentative="1">
      <w:start w:val="1"/>
      <w:numFmt w:val="bullet"/>
      <w:lvlText w:val="・"/>
      <w:lvlJc w:val="left"/>
      <w:pPr>
        <w:tabs>
          <w:tab w:val="num" w:pos="4320"/>
        </w:tabs>
        <w:ind w:left="4320" w:hanging="360"/>
      </w:pPr>
      <w:rPr>
        <w:rFonts w:ascii="MS Mincho" w:hAnsi="MS Mincho" w:hint="default"/>
      </w:rPr>
    </w:lvl>
    <w:lvl w:ilvl="6" w:tplc="C5D4F06E" w:tentative="1">
      <w:start w:val="1"/>
      <w:numFmt w:val="bullet"/>
      <w:lvlText w:val="・"/>
      <w:lvlJc w:val="left"/>
      <w:pPr>
        <w:tabs>
          <w:tab w:val="num" w:pos="5040"/>
        </w:tabs>
        <w:ind w:left="5040" w:hanging="360"/>
      </w:pPr>
      <w:rPr>
        <w:rFonts w:ascii="MS Mincho" w:hAnsi="MS Mincho" w:hint="default"/>
      </w:rPr>
    </w:lvl>
    <w:lvl w:ilvl="7" w:tplc="757ECA14" w:tentative="1">
      <w:start w:val="1"/>
      <w:numFmt w:val="bullet"/>
      <w:lvlText w:val="・"/>
      <w:lvlJc w:val="left"/>
      <w:pPr>
        <w:tabs>
          <w:tab w:val="num" w:pos="5760"/>
        </w:tabs>
        <w:ind w:left="5760" w:hanging="360"/>
      </w:pPr>
      <w:rPr>
        <w:rFonts w:ascii="MS Mincho" w:hAnsi="MS Mincho" w:hint="default"/>
      </w:rPr>
    </w:lvl>
    <w:lvl w:ilvl="8" w:tplc="0A56DE7A" w:tentative="1">
      <w:start w:val="1"/>
      <w:numFmt w:val="bullet"/>
      <w:lvlText w:val="・"/>
      <w:lvlJc w:val="left"/>
      <w:pPr>
        <w:tabs>
          <w:tab w:val="num" w:pos="6480"/>
        </w:tabs>
        <w:ind w:left="6480" w:hanging="360"/>
      </w:pPr>
      <w:rPr>
        <w:rFonts w:ascii="MS Mincho" w:hAnsi="MS Mincho" w:hint="default"/>
      </w:rPr>
    </w:lvl>
  </w:abstractNum>
  <w:abstractNum w:abstractNumId="2" w15:restartNumberingAfterBreak="0">
    <w:nsid w:val="736A67B0"/>
    <w:multiLevelType w:val="multilevel"/>
    <w:tmpl w:val="2B52392A"/>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2"/>
  </w:num>
  <w:num w:numId="2">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65"/>
    <w:rsid w:val="00043991"/>
    <w:rsid w:val="0004690E"/>
    <w:rsid w:val="000531C2"/>
    <w:rsid w:val="00093C38"/>
    <w:rsid w:val="000A6CFD"/>
    <w:rsid w:val="000C4067"/>
    <w:rsid w:val="000D685D"/>
    <w:rsid w:val="000E0A1E"/>
    <w:rsid w:val="00100F6A"/>
    <w:rsid w:val="001200FB"/>
    <w:rsid w:val="00121211"/>
    <w:rsid w:val="00154736"/>
    <w:rsid w:val="00171E8E"/>
    <w:rsid w:val="00195D86"/>
    <w:rsid w:val="001A4FF8"/>
    <w:rsid w:val="001A6606"/>
    <w:rsid w:val="001B091B"/>
    <w:rsid w:val="001B25EA"/>
    <w:rsid w:val="001B290F"/>
    <w:rsid w:val="001D47D4"/>
    <w:rsid w:val="001D7811"/>
    <w:rsid w:val="001E5E21"/>
    <w:rsid w:val="00214BB3"/>
    <w:rsid w:val="0022752A"/>
    <w:rsid w:val="002300A0"/>
    <w:rsid w:val="00233857"/>
    <w:rsid w:val="0025503A"/>
    <w:rsid w:val="0026376B"/>
    <w:rsid w:val="00265861"/>
    <w:rsid w:val="002B1263"/>
    <w:rsid w:val="002D140C"/>
    <w:rsid w:val="00321545"/>
    <w:rsid w:val="00372778"/>
    <w:rsid w:val="00390E11"/>
    <w:rsid w:val="003922DE"/>
    <w:rsid w:val="003A3C42"/>
    <w:rsid w:val="003A56E5"/>
    <w:rsid w:val="003D3966"/>
    <w:rsid w:val="00405CB3"/>
    <w:rsid w:val="00410F80"/>
    <w:rsid w:val="00424114"/>
    <w:rsid w:val="00433C08"/>
    <w:rsid w:val="004478C1"/>
    <w:rsid w:val="004565F1"/>
    <w:rsid w:val="0046234D"/>
    <w:rsid w:val="00465DA9"/>
    <w:rsid w:val="004A3B08"/>
    <w:rsid w:val="004A46E0"/>
    <w:rsid w:val="004B38B1"/>
    <w:rsid w:val="004D4904"/>
    <w:rsid w:val="004F29E3"/>
    <w:rsid w:val="00530258"/>
    <w:rsid w:val="00580FDF"/>
    <w:rsid w:val="0058670A"/>
    <w:rsid w:val="005909BD"/>
    <w:rsid w:val="005C0E37"/>
    <w:rsid w:val="005C775E"/>
    <w:rsid w:val="005E2559"/>
    <w:rsid w:val="006041DE"/>
    <w:rsid w:val="0061332D"/>
    <w:rsid w:val="00622FE3"/>
    <w:rsid w:val="00650F5B"/>
    <w:rsid w:val="00663C8D"/>
    <w:rsid w:val="00663DF0"/>
    <w:rsid w:val="00692641"/>
    <w:rsid w:val="00695D01"/>
    <w:rsid w:val="006C71C0"/>
    <w:rsid w:val="006E47B2"/>
    <w:rsid w:val="0070605E"/>
    <w:rsid w:val="0072332C"/>
    <w:rsid w:val="00750121"/>
    <w:rsid w:val="00777580"/>
    <w:rsid w:val="007A2C98"/>
    <w:rsid w:val="007A7B9F"/>
    <w:rsid w:val="007D6799"/>
    <w:rsid w:val="007E1FB8"/>
    <w:rsid w:val="007F6AF9"/>
    <w:rsid w:val="00857C3F"/>
    <w:rsid w:val="00870334"/>
    <w:rsid w:val="008B5CAB"/>
    <w:rsid w:val="008C0B01"/>
    <w:rsid w:val="008E0620"/>
    <w:rsid w:val="008E19AE"/>
    <w:rsid w:val="008F5D12"/>
    <w:rsid w:val="008F5FF2"/>
    <w:rsid w:val="00915635"/>
    <w:rsid w:val="00917D58"/>
    <w:rsid w:val="00940B92"/>
    <w:rsid w:val="00984452"/>
    <w:rsid w:val="009E2837"/>
    <w:rsid w:val="009E3436"/>
    <w:rsid w:val="009F1014"/>
    <w:rsid w:val="00A00567"/>
    <w:rsid w:val="00A01B1C"/>
    <w:rsid w:val="00A11B02"/>
    <w:rsid w:val="00A14503"/>
    <w:rsid w:val="00A35E15"/>
    <w:rsid w:val="00A673D7"/>
    <w:rsid w:val="00A80927"/>
    <w:rsid w:val="00AF3066"/>
    <w:rsid w:val="00AF4475"/>
    <w:rsid w:val="00AF7DAC"/>
    <w:rsid w:val="00B20017"/>
    <w:rsid w:val="00B42B31"/>
    <w:rsid w:val="00B42DBE"/>
    <w:rsid w:val="00B430BC"/>
    <w:rsid w:val="00B4469B"/>
    <w:rsid w:val="00B47240"/>
    <w:rsid w:val="00B57B20"/>
    <w:rsid w:val="00B64B60"/>
    <w:rsid w:val="00C608C4"/>
    <w:rsid w:val="00C6703E"/>
    <w:rsid w:val="00C92DD0"/>
    <w:rsid w:val="00CB2D61"/>
    <w:rsid w:val="00CD7FCE"/>
    <w:rsid w:val="00CE123E"/>
    <w:rsid w:val="00CF3B1A"/>
    <w:rsid w:val="00CF6D65"/>
    <w:rsid w:val="00D34B99"/>
    <w:rsid w:val="00D46971"/>
    <w:rsid w:val="00D66E43"/>
    <w:rsid w:val="00D81BE7"/>
    <w:rsid w:val="00DA5A72"/>
    <w:rsid w:val="00DB4D65"/>
    <w:rsid w:val="00DB5A8A"/>
    <w:rsid w:val="00DB5C57"/>
    <w:rsid w:val="00DE4BB7"/>
    <w:rsid w:val="00E02B0C"/>
    <w:rsid w:val="00E411CA"/>
    <w:rsid w:val="00E412AC"/>
    <w:rsid w:val="00EA03CE"/>
    <w:rsid w:val="00EB4FF0"/>
    <w:rsid w:val="00EE0A13"/>
    <w:rsid w:val="00EE5B42"/>
    <w:rsid w:val="00EE7DD5"/>
    <w:rsid w:val="00EF0AAB"/>
    <w:rsid w:val="00EF444A"/>
    <w:rsid w:val="00F374B3"/>
    <w:rsid w:val="00F43CC9"/>
    <w:rsid w:val="00F72AC1"/>
    <w:rsid w:val="00FF1CD1"/>
    <w:rsid w:val="00FF4D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B96BD"/>
  <w15:docId w15:val="{0ECB422F-46CC-4962-8737-58E76BF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olor w:val="00000A"/>
      <w:sz w:val="20"/>
      <w:szCs w:val="20"/>
      <w:lang w:bidi="ar-SA"/>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2">
    <w:name w:val="Absatz-Standardschriftart2"/>
    <w:qFormat/>
  </w:style>
  <w:style w:type="character" w:customStyle="1" w:styleId="WW8Num3z0">
    <w:name w:val="WW8Num3z0"/>
    <w:qFormat/>
    <w:rPr>
      <w:rFonts w:ascii="Arial" w:eastAsia="Times New Roman"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Absatz-Standardschriftart1">
    <w:name w:val="Absatz-Standardschriftart1"/>
    <w:qFormat/>
  </w:style>
  <w:style w:type="character" w:customStyle="1" w:styleId="Internetlink">
    <w:name w:val="Internetlink"/>
    <w:rPr>
      <w:color w:val="0000FF"/>
      <w:u w:val="single"/>
    </w:rPr>
  </w:style>
  <w:style w:type="character" w:styleId="Seitenzahl">
    <w:name w:val="page number"/>
    <w:basedOn w:val="Absatz-Standardschriftart1"/>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numbering" w:customStyle="1" w:styleId="WW8Num1">
    <w:name w:val="WW8Num1"/>
    <w:qFormat/>
  </w:style>
  <w:style w:type="paragraph" w:styleId="Sprechblasentext">
    <w:name w:val="Balloon Text"/>
    <w:basedOn w:val="Standard"/>
    <w:link w:val="SprechblasentextZchn"/>
    <w:uiPriority w:val="99"/>
    <w:semiHidden/>
    <w:unhideWhenUsed/>
    <w:rsid w:val="00CF3B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3B1A"/>
    <w:rPr>
      <w:rFonts w:ascii="Segoe UI" w:eastAsia="Times New Roman" w:hAnsi="Segoe UI" w:cs="Segoe UI"/>
      <w:color w:val="00000A"/>
      <w:sz w:val="18"/>
      <w:szCs w:val="18"/>
      <w:lang w:bidi="ar-SA"/>
    </w:rPr>
  </w:style>
  <w:style w:type="character" w:styleId="Hyperlink">
    <w:name w:val="Hyperlink"/>
    <w:basedOn w:val="Absatz-Standardschriftart"/>
    <w:uiPriority w:val="99"/>
    <w:unhideWhenUsed/>
    <w:rsid w:val="006E47B2"/>
    <w:rPr>
      <w:color w:val="0563C1" w:themeColor="hyperlink"/>
      <w:u w:val="single"/>
    </w:rPr>
  </w:style>
  <w:style w:type="character" w:styleId="Kommentarzeichen">
    <w:name w:val="annotation reference"/>
    <w:basedOn w:val="Absatz-Standardschriftart"/>
    <w:uiPriority w:val="99"/>
    <w:semiHidden/>
    <w:unhideWhenUsed/>
    <w:rsid w:val="002D140C"/>
    <w:rPr>
      <w:sz w:val="16"/>
      <w:szCs w:val="16"/>
    </w:rPr>
  </w:style>
  <w:style w:type="paragraph" w:styleId="Kommentartext">
    <w:name w:val="annotation text"/>
    <w:basedOn w:val="Standard"/>
    <w:link w:val="KommentartextZchn"/>
    <w:uiPriority w:val="99"/>
    <w:semiHidden/>
    <w:unhideWhenUsed/>
    <w:rsid w:val="002D140C"/>
  </w:style>
  <w:style w:type="character" w:customStyle="1" w:styleId="KommentartextZchn">
    <w:name w:val="Kommentartext Zchn"/>
    <w:basedOn w:val="Absatz-Standardschriftart"/>
    <w:link w:val="Kommentartext"/>
    <w:uiPriority w:val="99"/>
    <w:semiHidden/>
    <w:rsid w:val="002D140C"/>
    <w:rPr>
      <w:rFonts w:eastAsia="Times New Roman"/>
      <w:color w:val="00000A"/>
      <w:sz w:val="20"/>
      <w:szCs w:val="20"/>
      <w:lang w:bidi="ar-SA"/>
    </w:rPr>
  </w:style>
  <w:style w:type="paragraph" w:styleId="Kommentarthema">
    <w:name w:val="annotation subject"/>
    <w:basedOn w:val="Kommentartext"/>
    <w:next w:val="Kommentartext"/>
    <w:link w:val="KommentarthemaZchn"/>
    <w:uiPriority w:val="99"/>
    <w:semiHidden/>
    <w:unhideWhenUsed/>
    <w:rsid w:val="002D140C"/>
    <w:rPr>
      <w:b/>
      <w:bCs/>
    </w:rPr>
  </w:style>
  <w:style w:type="character" w:customStyle="1" w:styleId="KommentarthemaZchn">
    <w:name w:val="Kommentarthema Zchn"/>
    <w:basedOn w:val="KommentartextZchn"/>
    <w:link w:val="Kommentarthema"/>
    <w:uiPriority w:val="99"/>
    <w:semiHidden/>
    <w:rsid w:val="002D140C"/>
    <w:rPr>
      <w:rFonts w:eastAsia="Times New Roman"/>
      <w:b/>
      <w:bCs/>
      <w:color w:val="00000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0006">
      <w:bodyDiv w:val="1"/>
      <w:marLeft w:val="0"/>
      <w:marRight w:val="0"/>
      <w:marTop w:val="0"/>
      <w:marBottom w:val="0"/>
      <w:divBdr>
        <w:top w:val="none" w:sz="0" w:space="0" w:color="auto"/>
        <w:left w:val="none" w:sz="0" w:space="0" w:color="auto"/>
        <w:bottom w:val="none" w:sz="0" w:space="0" w:color="auto"/>
        <w:right w:val="none" w:sz="0" w:space="0" w:color="auto"/>
      </w:divBdr>
      <w:divsChild>
        <w:div w:id="1415860579">
          <w:marLeft w:val="317"/>
          <w:marRight w:val="0"/>
          <w:marTop w:val="120"/>
          <w:marBottom w:val="0"/>
          <w:divBdr>
            <w:top w:val="none" w:sz="0" w:space="0" w:color="auto"/>
            <w:left w:val="none" w:sz="0" w:space="0" w:color="auto"/>
            <w:bottom w:val="none" w:sz="0" w:space="0" w:color="auto"/>
            <w:right w:val="none" w:sz="0" w:space="0" w:color="auto"/>
          </w:divBdr>
        </w:div>
        <w:div w:id="1890264837">
          <w:marLeft w:val="317"/>
          <w:marRight w:val="0"/>
          <w:marTop w:val="120"/>
          <w:marBottom w:val="0"/>
          <w:divBdr>
            <w:top w:val="none" w:sz="0" w:space="0" w:color="auto"/>
            <w:left w:val="none" w:sz="0" w:space="0" w:color="auto"/>
            <w:bottom w:val="none" w:sz="0" w:space="0" w:color="auto"/>
            <w:right w:val="none" w:sz="0" w:space="0" w:color="auto"/>
          </w:divBdr>
        </w:div>
        <w:div w:id="84543749">
          <w:marLeft w:val="317"/>
          <w:marRight w:val="0"/>
          <w:marTop w:val="120"/>
          <w:marBottom w:val="0"/>
          <w:divBdr>
            <w:top w:val="none" w:sz="0" w:space="0" w:color="auto"/>
            <w:left w:val="none" w:sz="0" w:space="0" w:color="auto"/>
            <w:bottom w:val="none" w:sz="0" w:space="0" w:color="auto"/>
            <w:right w:val="none" w:sz="0" w:space="0" w:color="auto"/>
          </w:divBdr>
        </w:div>
        <w:div w:id="128401963">
          <w:marLeft w:val="317"/>
          <w:marRight w:val="0"/>
          <w:marTop w:val="120"/>
          <w:marBottom w:val="0"/>
          <w:divBdr>
            <w:top w:val="none" w:sz="0" w:space="0" w:color="auto"/>
            <w:left w:val="none" w:sz="0" w:space="0" w:color="auto"/>
            <w:bottom w:val="none" w:sz="0" w:space="0" w:color="auto"/>
            <w:right w:val="none" w:sz="0" w:space="0" w:color="auto"/>
          </w:divBdr>
        </w:div>
      </w:divsChild>
    </w:div>
    <w:div w:id="84857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t4G22aXLs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fi.de/fileadmin/user_upload/Unternehmen/Downloadcenter/Flyer-und-Broschueren/PDFs_deutsch/Uploads_ff_Apr-2018/GB2_Systeme/Twintouch-Flexscape_DE_20181114_os.pdf" TargetMode="External"/><Relationship Id="rId4" Type="http://schemas.openxmlformats.org/officeDocument/2006/relationships/webSettings" Target="webSettings.xml"/><Relationship Id="rId9" Type="http://schemas.openxmlformats.org/officeDocument/2006/relationships/hyperlink" Target="https://www.rafi.de/de/produkte/bedien-systemehmi/kapazitive-systemeglassca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3</cp:revision>
  <cp:lastPrinted>2019-01-15T13:25:00Z</cp:lastPrinted>
  <dcterms:created xsi:type="dcterms:W3CDTF">2019-02-25T11:04:00Z</dcterms:created>
  <dcterms:modified xsi:type="dcterms:W3CDTF">2019-03-27T09:06:00Z</dcterms:modified>
  <dc:language>de-DE</dc:language>
</cp:coreProperties>
</file>