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E1219" w:rsidRDefault="009E1219">
      <w:bookmarkStart w:id="0" w:name="_GoBack"/>
      <w:bookmarkEnd w:id="0"/>
      <w:r>
        <w:rPr>
          <w:sz w:val="40"/>
          <w:szCs w:val="40"/>
        </w:rPr>
        <w:t>Presseinformation</w:t>
      </w:r>
    </w:p>
    <w:p w:rsidR="009E1219" w:rsidRDefault="009E1219">
      <w:pPr>
        <w:spacing w:line="360" w:lineRule="auto"/>
        <w:ind w:right="-2"/>
        <w:rPr>
          <w:b/>
          <w:sz w:val="24"/>
          <w:szCs w:val="40"/>
        </w:rPr>
      </w:pPr>
    </w:p>
    <w:p w:rsidR="009E1219" w:rsidRDefault="00A36CD5">
      <w:pPr>
        <w:suppressAutoHyphens/>
        <w:spacing w:line="360" w:lineRule="auto"/>
      </w:pPr>
      <w:r>
        <w:rPr>
          <w:b/>
          <w:sz w:val="24"/>
        </w:rPr>
        <w:t>Busfähige</w:t>
      </w:r>
      <w:r w:rsidR="001C5222">
        <w:rPr>
          <w:b/>
          <w:sz w:val="24"/>
        </w:rPr>
        <w:t xml:space="preserve"> </w:t>
      </w:r>
      <w:r w:rsidR="00E866ED">
        <w:rPr>
          <w:b/>
          <w:sz w:val="24"/>
        </w:rPr>
        <w:t xml:space="preserve">Bedienmodule für mobile Maschinen </w:t>
      </w:r>
    </w:p>
    <w:p w:rsidR="009E1219" w:rsidRDefault="009E1219">
      <w:pPr>
        <w:spacing w:line="360" w:lineRule="auto"/>
        <w:ind w:right="-2"/>
        <w:rPr>
          <w:b/>
        </w:rPr>
      </w:pPr>
    </w:p>
    <w:p w:rsidR="00E866ED" w:rsidRDefault="0057704D" w:rsidP="006740A6">
      <w:pPr>
        <w:spacing w:line="360" w:lineRule="auto"/>
        <w:jc w:val="both"/>
        <w:rPr>
          <w:bCs/>
        </w:rPr>
      </w:pPr>
      <w:r w:rsidRPr="0057704D">
        <w:t xml:space="preserve">Luckenwalde – </w:t>
      </w:r>
      <w:r w:rsidR="00AF3260">
        <w:t xml:space="preserve">Für die dezentrale Maschinenbedienung </w:t>
      </w:r>
      <w:r w:rsidR="001C5222">
        <w:t>bietet Grie</w:t>
      </w:r>
      <w:r w:rsidR="0030550B">
        <w:t>s</w:t>
      </w:r>
      <w:r w:rsidR="001C5222">
        <w:t xml:space="preserve">sbach mit seinen CAN-Modulen busfähige Eingabeeinheiten, die sich mit minimalem Montage- und Installationsaufwand </w:t>
      </w:r>
      <w:r w:rsidR="00AF3260">
        <w:t>in das Steuerungsnetzwerk einbinden lassen</w:t>
      </w:r>
      <w:r w:rsidR="00D94A90">
        <w:t>.</w:t>
      </w:r>
      <w:r w:rsidR="00E866ED">
        <w:t xml:space="preserve"> Die robusten, </w:t>
      </w:r>
      <w:r w:rsidR="00AF3260">
        <w:t xml:space="preserve">bedarfsgerecht </w:t>
      </w:r>
      <w:r w:rsidR="00D94A90">
        <w:t xml:space="preserve">konfigurierbaren </w:t>
      </w:r>
      <w:r w:rsidR="00AF3260">
        <w:t>Tastermodule</w:t>
      </w:r>
      <w:r w:rsidR="000E257F">
        <w:t xml:space="preserve"> </w:t>
      </w:r>
      <w:r w:rsidR="006740A6">
        <w:t xml:space="preserve">mit </w:t>
      </w:r>
      <w:r w:rsidR="006740A6" w:rsidRPr="0090282A">
        <w:rPr>
          <w:bCs/>
        </w:rPr>
        <w:t>CANopen</w:t>
      </w:r>
      <w:r w:rsidR="006740A6">
        <w:rPr>
          <w:bCs/>
        </w:rPr>
        <w:t>-</w:t>
      </w:r>
      <w:r w:rsidR="006740A6" w:rsidRPr="0090282A">
        <w:rPr>
          <w:bCs/>
        </w:rPr>
        <w:t xml:space="preserve"> </w:t>
      </w:r>
      <w:r w:rsidR="003045F0">
        <w:rPr>
          <w:bCs/>
        </w:rPr>
        <w:t>oder</w:t>
      </w:r>
      <w:r w:rsidR="006740A6" w:rsidRPr="0090282A">
        <w:rPr>
          <w:bCs/>
        </w:rPr>
        <w:t xml:space="preserve"> J1939</w:t>
      </w:r>
      <w:r w:rsidR="006740A6">
        <w:rPr>
          <w:bCs/>
        </w:rPr>
        <w:t>-Schnittstelle</w:t>
      </w:r>
      <w:r w:rsidR="006740A6" w:rsidRPr="0090282A">
        <w:rPr>
          <w:bCs/>
        </w:rPr>
        <w:t xml:space="preserve"> </w:t>
      </w:r>
      <w:r w:rsidR="00E866ED">
        <w:rPr>
          <w:bCs/>
        </w:rPr>
        <w:t xml:space="preserve">eignen </w:t>
      </w:r>
      <w:r w:rsidR="003045F0">
        <w:rPr>
          <w:bCs/>
        </w:rPr>
        <w:t xml:space="preserve">sich </w:t>
      </w:r>
      <w:r w:rsidR="00D94A90">
        <w:t xml:space="preserve">ideal für den Einsatz in Bau- und </w:t>
      </w:r>
      <w:r w:rsidR="00A36CD5">
        <w:t>Agrar</w:t>
      </w:r>
      <w:r w:rsidR="00D94A90">
        <w:t xml:space="preserve">maschinen. So installiert </w:t>
      </w:r>
      <w:r w:rsidR="0030550B">
        <w:t>KRONE</w:t>
      </w:r>
      <w:r w:rsidR="00D94A90">
        <w:t>, führende</w:t>
      </w:r>
      <w:r w:rsidR="0030550B">
        <w:t>r</w:t>
      </w:r>
      <w:r w:rsidR="00D94A90">
        <w:t xml:space="preserve"> Hersteller von Landmaschinen für die Futtererntetechnik, die Keypads anstelle von Einzeltastern in seinen Transportwagen </w:t>
      </w:r>
      <w:r w:rsidR="00D94A90">
        <w:rPr>
          <w:bCs/>
        </w:rPr>
        <w:t xml:space="preserve">zum Laden von Heu, Stroh oder Silage. </w:t>
      </w:r>
      <w:r w:rsidR="00A36CD5">
        <w:rPr>
          <w:bCs/>
        </w:rPr>
        <w:t>N</w:t>
      </w:r>
      <w:r w:rsidR="00D94A90">
        <w:rPr>
          <w:bCs/>
        </w:rPr>
        <w:t xml:space="preserve">eben der Pick-up-Vorrichtung und dem Messerbalken </w:t>
      </w:r>
      <w:r w:rsidR="00A36CD5">
        <w:rPr>
          <w:bCs/>
        </w:rPr>
        <w:t xml:space="preserve">werden </w:t>
      </w:r>
      <w:r w:rsidR="00D94A90">
        <w:rPr>
          <w:bCs/>
        </w:rPr>
        <w:t xml:space="preserve">auch die Schleifautomatik und Arbeitsbeleuchtung </w:t>
      </w:r>
      <w:r w:rsidR="006740A6">
        <w:rPr>
          <w:bCs/>
        </w:rPr>
        <w:t xml:space="preserve">der Transportwagen </w:t>
      </w:r>
      <w:r w:rsidR="00A36CD5">
        <w:rPr>
          <w:bCs/>
        </w:rPr>
        <w:t xml:space="preserve">über die CAN-Module </w:t>
      </w:r>
      <w:r w:rsidR="006740A6">
        <w:rPr>
          <w:bCs/>
        </w:rPr>
        <w:t xml:space="preserve">angesteuert. </w:t>
      </w:r>
      <w:r w:rsidR="006740A6" w:rsidRPr="001C5222">
        <w:rPr>
          <w:bCs/>
        </w:rPr>
        <w:t xml:space="preserve">„Griessbach liefert uns die Einheiten als einbaufertige Plug &amp; Play-Module einschließlich angepasstem Bootloader und J1939-Schnittstelle“, erklärt </w:t>
      </w:r>
      <w:r w:rsidR="0030550B">
        <w:rPr>
          <w:bCs/>
        </w:rPr>
        <w:t xml:space="preserve">Benedikt </w:t>
      </w:r>
      <w:r w:rsidR="006740A6" w:rsidRPr="001C5222">
        <w:rPr>
          <w:bCs/>
        </w:rPr>
        <w:t>Lambrecht-Speller</w:t>
      </w:r>
      <w:r w:rsidR="006740A6">
        <w:rPr>
          <w:bCs/>
        </w:rPr>
        <w:t xml:space="preserve">, Mitarbeiter Produktmarketing bei </w:t>
      </w:r>
      <w:r w:rsidR="009C13BF">
        <w:rPr>
          <w:bCs/>
        </w:rPr>
        <w:t>KRONE</w:t>
      </w:r>
      <w:r w:rsidR="006740A6" w:rsidRPr="001C5222">
        <w:rPr>
          <w:bCs/>
        </w:rPr>
        <w:t>. „Aufgrund der einfachen Anbindung an unser Netzwerk werden weniger I/O-Anschlüsse der Maschinensteuerung belegt. Die generisch ausgelegte Schnittstelle erspart technische Adaptionen der Tastergruppen an unterschiedliche Maschinentypen und -funktionen</w:t>
      </w:r>
      <w:r w:rsidR="006740A6">
        <w:rPr>
          <w:bCs/>
        </w:rPr>
        <w:t xml:space="preserve">. Durch die unkomplizierte Anpassung und vereinfachte Implementierung zusätzlicher Funktionen erhöht sich unser Freiheitsgrad für weitere Applikationen.“ </w:t>
      </w:r>
      <w:r w:rsidR="006740A6">
        <w:t xml:space="preserve">Die mit </w:t>
      </w:r>
      <w:r w:rsidR="006740A6">
        <w:rPr>
          <w:bCs/>
        </w:rPr>
        <w:t xml:space="preserve">vier </w:t>
      </w:r>
      <w:r w:rsidR="006740A6" w:rsidRPr="0090282A">
        <w:rPr>
          <w:bCs/>
        </w:rPr>
        <w:t xml:space="preserve">bis </w:t>
      </w:r>
      <w:r w:rsidR="006740A6">
        <w:rPr>
          <w:bCs/>
        </w:rPr>
        <w:t>zwölf</w:t>
      </w:r>
      <w:r w:rsidR="006740A6" w:rsidRPr="0090282A">
        <w:rPr>
          <w:bCs/>
        </w:rPr>
        <w:t xml:space="preserve"> Eingabefeldern </w:t>
      </w:r>
      <w:r w:rsidR="006740A6">
        <w:rPr>
          <w:bCs/>
        </w:rPr>
        <w:t xml:space="preserve">erhältlichen Keypads </w:t>
      </w:r>
      <w:r w:rsidR="00E866ED">
        <w:rPr>
          <w:bCs/>
        </w:rPr>
        <w:t xml:space="preserve">sind durch einen PU-Vollverguss der </w:t>
      </w:r>
      <w:r w:rsidR="006740A6" w:rsidRPr="0090282A">
        <w:rPr>
          <w:bCs/>
        </w:rPr>
        <w:t>gesamten Baugruppe gegen mechanische Belastungen</w:t>
      </w:r>
      <w:r w:rsidR="00E866ED">
        <w:rPr>
          <w:bCs/>
        </w:rPr>
        <w:t xml:space="preserve">, Staub und Feuchtigkeit geschützt. </w:t>
      </w:r>
      <w:r w:rsidR="003045F0">
        <w:rPr>
          <w:rFonts w:eastAsia="Arial"/>
        </w:rPr>
        <w:t>Zu den vielfältige</w:t>
      </w:r>
      <w:r w:rsidR="0030550B">
        <w:rPr>
          <w:rFonts w:eastAsia="Arial"/>
        </w:rPr>
        <w:t xml:space="preserve">n </w:t>
      </w:r>
      <w:r w:rsidR="003045F0">
        <w:rPr>
          <w:rFonts w:eastAsia="Arial"/>
        </w:rPr>
        <w:t xml:space="preserve">Beleuchtungsoptionen zählen mit </w:t>
      </w:r>
      <w:r w:rsidR="00E866ED" w:rsidRPr="00EA40D2">
        <w:t>RGB-LEDs aus</w:t>
      </w:r>
      <w:r w:rsidR="00E866ED">
        <w:t>gestattete Leuchttasten</w:t>
      </w:r>
      <w:r w:rsidR="003045F0">
        <w:t xml:space="preserve">, um </w:t>
      </w:r>
      <w:r w:rsidR="00E866ED">
        <w:t xml:space="preserve">unterschiedliche </w:t>
      </w:r>
      <w:r w:rsidR="00E866ED" w:rsidRPr="00EA40D2">
        <w:t xml:space="preserve">Maschinenfunktionen </w:t>
      </w:r>
      <w:r w:rsidR="00E866ED">
        <w:t>prägnant voneinander ab</w:t>
      </w:r>
      <w:r w:rsidR="003045F0">
        <w:t>zu</w:t>
      </w:r>
      <w:r w:rsidR="00E866ED">
        <w:t xml:space="preserve">setzen und anhand </w:t>
      </w:r>
      <w:r w:rsidR="003045F0">
        <w:t xml:space="preserve">ihrer </w:t>
      </w:r>
      <w:r w:rsidR="00E866ED">
        <w:t>Beleuchtungsfarbe zu Funktionsgruppen an</w:t>
      </w:r>
      <w:r w:rsidR="003045F0">
        <w:t>zu</w:t>
      </w:r>
      <w:r w:rsidR="00E866ED">
        <w:t xml:space="preserve">ordnen. </w:t>
      </w:r>
      <w:r w:rsidR="00E866ED" w:rsidRPr="00EA40D2">
        <w:t xml:space="preserve">Zusätzlich </w:t>
      </w:r>
      <w:r w:rsidR="00E866ED">
        <w:t xml:space="preserve">können </w:t>
      </w:r>
      <w:r w:rsidR="00E866ED" w:rsidRPr="00EA40D2">
        <w:t>mittels umlaufender Ring- oder Segmentbeleuchtungen in den Ampelfarben für jedes Tasterfeld</w:t>
      </w:r>
      <w:r w:rsidR="003045F0">
        <w:t xml:space="preserve"> </w:t>
      </w:r>
      <w:r w:rsidR="00E866ED" w:rsidRPr="00EA40D2">
        <w:t xml:space="preserve">Warn- oder Alarmsignale durch Farbumschlag kenntlich </w:t>
      </w:r>
      <w:r w:rsidR="00E866ED">
        <w:t>gemacht</w:t>
      </w:r>
      <w:r w:rsidR="00B20A58">
        <w:t xml:space="preserve"> werden</w:t>
      </w:r>
      <w:r w:rsidR="0030550B">
        <w:t xml:space="preserve">. Alternativ lässt sich </w:t>
      </w:r>
      <w:r w:rsidR="003045F0">
        <w:t>die Leuchtfunktion der Segmente</w:t>
      </w:r>
      <w:r w:rsidR="0030550B">
        <w:t xml:space="preserve"> auch</w:t>
      </w:r>
      <w:r w:rsidR="003045F0">
        <w:t xml:space="preserve"> zur Anzeige verschiedener Schaltstufen </w:t>
      </w:r>
      <w:r w:rsidR="0030550B">
        <w:t>nutzen</w:t>
      </w:r>
      <w:r w:rsidR="003045F0">
        <w:t xml:space="preserve">. </w:t>
      </w:r>
    </w:p>
    <w:p w:rsidR="006740A6" w:rsidRDefault="006740A6" w:rsidP="006740A6">
      <w:pPr>
        <w:spacing w:line="360" w:lineRule="auto"/>
        <w:jc w:val="both"/>
        <w:rPr>
          <w:bCs/>
        </w:rPr>
      </w:pPr>
    </w:p>
    <w:p w:rsidR="0011762D" w:rsidRDefault="0011762D" w:rsidP="0011762D">
      <w:pPr>
        <w:spacing w:line="360" w:lineRule="auto"/>
        <w:jc w:val="both"/>
      </w:pPr>
    </w:p>
    <w:p w:rsidR="0011762D" w:rsidRDefault="0011762D" w:rsidP="0011762D">
      <w:pPr>
        <w:spacing w:line="360" w:lineRule="auto"/>
        <w:jc w:val="both"/>
      </w:pPr>
    </w:p>
    <w:tbl>
      <w:tblPr>
        <w:tblStyle w:val="TabellemithellemGitternetz"/>
        <w:tblW w:w="7226" w:type="dxa"/>
        <w:tblLook w:val="0000" w:firstRow="0" w:lastRow="0" w:firstColumn="0" w:lastColumn="0" w:noHBand="0" w:noVBand="0"/>
      </w:tblPr>
      <w:tblGrid>
        <w:gridCol w:w="7226"/>
      </w:tblGrid>
      <w:tr w:rsidR="0011762D" w:rsidTr="00317FF4">
        <w:tc>
          <w:tcPr>
            <w:tcW w:w="7226" w:type="dxa"/>
          </w:tcPr>
          <w:p w:rsidR="0011762D" w:rsidRDefault="0011762D" w:rsidP="00317FF4">
            <w:pPr>
              <w:jc w:val="center"/>
            </w:pPr>
            <w:r>
              <w:rPr>
                <w:noProof/>
                <w:lang w:eastAsia="de-DE"/>
              </w:rPr>
              <w:lastRenderedPageBreak/>
              <w:drawing>
                <wp:inline distT="0" distB="0" distL="0" distR="0" wp14:anchorId="6A10246A" wp14:editId="0851F6DD">
                  <wp:extent cx="3048000" cy="2032000"/>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032000"/>
                          </a:xfrm>
                          <a:prstGeom prst="rect">
                            <a:avLst/>
                          </a:prstGeom>
                          <a:noFill/>
                          <a:ln>
                            <a:noFill/>
                          </a:ln>
                        </pic:spPr>
                      </pic:pic>
                    </a:graphicData>
                  </a:graphic>
                </wp:inline>
              </w:drawing>
            </w:r>
          </w:p>
          <w:p w:rsidR="0011762D" w:rsidRDefault="0011762D" w:rsidP="00317FF4">
            <w:pPr>
              <w:jc w:val="center"/>
            </w:pPr>
          </w:p>
        </w:tc>
      </w:tr>
      <w:tr w:rsidR="0011762D" w:rsidTr="00317FF4">
        <w:tc>
          <w:tcPr>
            <w:tcW w:w="7226" w:type="dxa"/>
          </w:tcPr>
          <w:p w:rsidR="0011762D" w:rsidRDefault="0011762D" w:rsidP="00317FF4">
            <w:pPr>
              <w:suppressAutoHyphens/>
              <w:jc w:val="center"/>
              <w:rPr>
                <w:sz w:val="18"/>
              </w:rPr>
            </w:pPr>
            <w:r>
              <w:rPr>
                <w:b/>
                <w:sz w:val="18"/>
              </w:rPr>
              <w:t>Bild:</w:t>
            </w:r>
            <w:r>
              <w:rPr>
                <w:sz w:val="18"/>
              </w:rPr>
              <w:t xml:space="preserve"> Statt Einzeltastern: Kompakte, busfähige Tastermodule zur Ansteuerung von Maschinenfunktionen minimieren den Verdrahtungs- und Montageaufwand</w:t>
            </w:r>
          </w:p>
          <w:p w:rsidR="0011762D" w:rsidRDefault="0011762D" w:rsidP="00317FF4">
            <w:pPr>
              <w:suppressAutoHyphens/>
              <w:jc w:val="center"/>
              <w:rPr>
                <w:sz w:val="18"/>
              </w:rPr>
            </w:pPr>
          </w:p>
          <w:p w:rsidR="0011762D" w:rsidRDefault="0011762D" w:rsidP="00317FF4">
            <w:pPr>
              <w:suppressAutoHyphens/>
              <w:jc w:val="center"/>
            </w:pPr>
            <w:r>
              <w:rPr>
                <w:rStyle w:val="coltype"/>
              </w:rPr>
              <w:t>Bildquelle: Krone</w:t>
            </w:r>
          </w:p>
        </w:tc>
      </w:tr>
    </w:tbl>
    <w:p w:rsidR="0011762D" w:rsidRDefault="0011762D" w:rsidP="0011762D">
      <w:pPr>
        <w:spacing w:line="360" w:lineRule="auto"/>
        <w:jc w:val="both"/>
      </w:pPr>
    </w:p>
    <w:p w:rsidR="009E1219" w:rsidRDefault="009E1219">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9E1219" w:rsidTr="007B1090">
        <w:tc>
          <w:tcPr>
            <w:tcW w:w="1151" w:type="dxa"/>
          </w:tcPr>
          <w:p w:rsidR="009E1219" w:rsidRDefault="009E1219">
            <w:r>
              <w:rPr>
                <w:sz w:val="18"/>
              </w:rPr>
              <w:t>Bilder:</w:t>
            </w:r>
          </w:p>
        </w:tc>
        <w:tc>
          <w:tcPr>
            <w:tcW w:w="3806" w:type="dxa"/>
          </w:tcPr>
          <w:p w:rsidR="009E1219" w:rsidRDefault="0011762D">
            <w:r w:rsidRPr="00824F19">
              <w:rPr>
                <w:sz w:val="18"/>
                <w:szCs w:val="18"/>
              </w:rPr>
              <w:t>krone-can_</w:t>
            </w:r>
            <w:r w:rsidR="00176489">
              <w:rPr>
                <w:sz w:val="18"/>
                <w:szCs w:val="18"/>
              </w:rPr>
              <w:t>2</w:t>
            </w:r>
            <w:r w:rsidRPr="00824F19">
              <w:rPr>
                <w:sz w:val="18"/>
                <w:szCs w:val="18"/>
              </w:rPr>
              <w:t>000px</w:t>
            </w:r>
          </w:p>
        </w:tc>
        <w:tc>
          <w:tcPr>
            <w:tcW w:w="925" w:type="dxa"/>
          </w:tcPr>
          <w:p w:rsidR="009E1219" w:rsidRDefault="009E1219">
            <w:r>
              <w:rPr>
                <w:sz w:val="18"/>
              </w:rPr>
              <w:t>Zeichen:</w:t>
            </w:r>
          </w:p>
        </w:tc>
        <w:tc>
          <w:tcPr>
            <w:tcW w:w="1302" w:type="dxa"/>
          </w:tcPr>
          <w:p w:rsidR="009E1219" w:rsidRDefault="00B20A58">
            <w:pPr>
              <w:jc w:val="right"/>
            </w:pPr>
            <w:r>
              <w:rPr>
                <w:sz w:val="18"/>
              </w:rPr>
              <w:t>2.02</w:t>
            </w:r>
            <w:r w:rsidR="00176489">
              <w:rPr>
                <w:sz w:val="18"/>
              </w:rPr>
              <w:t>8</w:t>
            </w:r>
          </w:p>
        </w:tc>
      </w:tr>
      <w:tr w:rsidR="009E1219" w:rsidTr="007B1090">
        <w:tc>
          <w:tcPr>
            <w:tcW w:w="1151" w:type="dxa"/>
          </w:tcPr>
          <w:p w:rsidR="009E1219" w:rsidRDefault="009E1219">
            <w:pPr>
              <w:spacing w:before="120"/>
            </w:pPr>
            <w:r>
              <w:rPr>
                <w:sz w:val="18"/>
              </w:rPr>
              <w:t>Dateiname:</w:t>
            </w:r>
          </w:p>
        </w:tc>
        <w:tc>
          <w:tcPr>
            <w:tcW w:w="3806" w:type="dxa"/>
          </w:tcPr>
          <w:p w:rsidR="009E1219" w:rsidRDefault="0030550B">
            <w:pPr>
              <w:spacing w:before="120"/>
            </w:pPr>
            <w:r w:rsidRPr="0030550B">
              <w:rPr>
                <w:sz w:val="18"/>
              </w:rPr>
              <w:t>201910031_pm_krone-canmodule</w:t>
            </w:r>
          </w:p>
        </w:tc>
        <w:tc>
          <w:tcPr>
            <w:tcW w:w="925" w:type="dxa"/>
          </w:tcPr>
          <w:p w:rsidR="009E1219" w:rsidRDefault="009E1219">
            <w:pPr>
              <w:spacing w:before="120"/>
            </w:pPr>
            <w:r>
              <w:rPr>
                <w:sz w:val="18"/>
              </w:rPr>
              <w:t>Datum:</w:t>
            </w:r>
          </w:p>
        </w:tc>
        <w:tc>
          <w:tcPr>
            <w:tcW w:w="1302" w:type="dxa"/>
          </w:tcPr>
          <w:p w:rsidR="009E1219" w:rsidRDefault="00557BE4">
            <w:pPr>
              <w:spacing w:before="120"/>
              <w:jc w:val="right"/>
            </w:pPr>
            <w:r>
              <w:rPr>
                <w:sz w:val="18"/>
              </w:rPr>
              <w:t>13.11.2019</w:t>
            </w:r>
          </w:p>
        </w:tc>
      </w:tr>
    </w:tbl>
    <w:p w:rsidR="009E1219" w:rsidRDefault="009E1219">
      <w:pPr>
        <w:pStyle w:val="Textkrper"/>
        <w:jc w:val="both"/>
        <w:rPr>
          <w:sz w:val="16"/>
        </w:rPr>
      </w:pPr>
    </w:p>
    <w:p w:rsidR="009E1219" w:rsidRDefault="009E1219">
      <w:pPr>
        <w:pStyle w:val="Textkrper"/>
        <w:jc w:val="both"/>
      </w:pPr>
      <w:r>
        <w:rPr>
          <w:b/>
          <w:sz w:val="16"/>
        </w:rPr>
        <w:t>Unternehmenshintergrund</w:t>
      </w:r>
    </w:p>
    <w:p w:rsidR="009E1219" w:rsidRDefault="009E1219">
      <w:pPr>
        <w:pStyle w:val="Textkrper"/>
        <w:jc w:val="both"/>
        <w:rPr>
          <w:b/>
          <w:sz w:val="16"/>
        </w:rPr>
      </w:pPr>
    </w:p>
    <w:p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rsidR="009E1219" w:rsidRDefault="009E1219">
      <w:pPr>
        <w:pBdr>
          <w:top w:val="none" w:sz="0" w:space="0" w:color="000000"/>
          <w:left w:val="none" w:sz="0" w:space="0" w:color="000000"/>
          <w:bottom w:val="none" w:sz="0" w:space="0" w:color="000000"/>
          <w:right w:val="none" w:sz="0" w:space="0" w:color="000000"/>
        </w:pBdr>
        <w:jc w:val="both"/>
        <w:rPr>
          <w:sz w:val="16"/>
        </w:rPr>
      </w:pPr>
    </w:p>
    <w:p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9E1219" w:rsidTr="000173B0">
        <w:tc>
          <w:tcPr>
            <w:tcW w:w="4323" w:type="dxa"/>
          </w:tcPr>
          <w:p w:rsidR="009E1219" w:rsidRDefault="009E1219">
            <w:r>
              <w:rPr>
                <w:b/>
              </w:rPr>
              <w:t>Kontakt:</w:t>
            </w:r>
          </w:p>
          <w:p w:rsidR="009E1219" w:rsidRDefault="009E1219">
            <w:pPr>
              <w:pStyle w:val="berschrift4"/>
              <w:ind w:left="0" w:firstLine="0"/>
            </w:pPr>
            <w:r>
              <w:rPr>
                <w:sz w:val="20"/>
              </w:rPr>
              <w:br/>
              <w:t>Griessbach GmbH</w:t>
            </w:r>
          </w:p>
          <w:p w:rsidR="009E1219" w:rsidRDefault="00FE7B14">
            <w:pPr>
              <w:pStyle w:val="Kopfzeile"/>
              <w:tabs>
                <w:tab w:val="clear" w:pos="4536"/>
                <w:tab w:val="clear" w:pos="9072"/>
              </w:tabs>
              <w:spacing w:before="120" w:after="120"/>
            </w:pPr>
            <w:r>
              <w:t>Kathrin Peters</w:t>
            </w:r>
          </w:p>
          <w:p w:rsidR="009E1219" w:rsidRDefault="009E1219">
            <w:pPr>
              <w:jc w:val="both"/>
            </w:pPr>
            <w:r>
              <w:t>Im Biotechnologiepark</w:t>
            </w:r>
          </w:p>
          <w:p w:rsidR="009E1219" w:rsidRDefault="009E1219">
            <w:pPr>
              <w:jc w:val="both"/>
            </w:pPr>
            <w:r>
              <w:t>14943 Luckenwalde</w:t>
            </w:r>
          </w:p>
          <w:p w:rsidR="009E1219" w:rsidRDefault="009E1219">
            <w:pPr>
              <w:spacing w:before="120"/>
              <w:jc w:val="both"/>
            </w:pPr>
            <w:r>
              <w:t xml:space="preserve">Tel.: 03371 / 6262 - </w:t>
            </w:r>
            <w:r w:rsidR="00FE7B14">
              <w:t>12</w:t>
            </w:r>
          </w:p>
          <w:p w:rsidR="001C5924" w:rsidRDefault="001C5924" w:rsidP="001C5924">
            <w:pPr>
              <w:jc w:val="both"/>
            </w:pPr>
            <w:r>
              <w:t>Fax: 03371 / 6262 - 9</w:t>
            </w:r>
            <w:r w:rsidR="00FE7B14">
              <w:t>9</w:t>
            </w:r>
          </w:p>
          <w:p w:rsidR="009E1219" w:rsidRDefault="009E1219">
            <w:pPr>
              <w:jc w:val="both"/>
            </w:pPr>
            <w:r>
              <w:t>E-Mail: info@griessbach.de</w:t>
            </w:r>
          </w:p>
          <w:p w:rsidR="009E1219" w:rsidRDefault="009E1219">
            <w:pPr>
              <w:pStyle w:val="Textkrper"/>
              <w:jc w:val="both"/>
            </w:pPr>
            <w:r>
              <w:rPr>
                <w:sz w:val="20"/>
              </w:rPr>
              <w:t>Internet: www.griessbach.de</w:t>
            </w:r>
          </w:p>
        </w:tc>
        <w:tc>
          <w:tcPr>
            <w:tcW w:w="567" w:type="dxa"/>
          </w:tcPr>
          <w:p w:rsidR="009E1219" w:rsidRDefault="009E1219">
            <w:pPr>
              <w:pStyle w:val="Textkrper"/>
              <w:jc w:val="right"/>
              <w:rPr>
                <w:sz w:val="16"/>
              </w:rPr>
            </w:pPr>
          </w:p>
        </w:tc>
        <w:tc>
          <w:tcPr>
            <w:tcW w:w="2268" w:type="dxa"/>
          </w:tcPr>
          <w:p w:rsidR="009E1219" w:rsidRDefault="009E1219">
            <w:pPr>
              <w:pStyle w:val="Textkrper"/>
              <w:jc w:val="both"/>
            </w:pPr>
            <w:r>
              <w:rPr>
                <w:sz w:val="16"/>
              </w:rPr>
              <w:t>gii die Presse-Agentur GmbH</w:t>
            </w:r>
          </w:p>
          <w:p w:rsidR="009E1219" w:rsidRDefault="009E1219">
            <w:pPr>
              <w:pStyle w:val="Textkrper"/>
            </w:pPr>
            <w:r>
              <w:rPr>
                <w:sz w:val="16"/>
              </w:rPr>
              <w:t>Immanuelkirchstraße 12</w:t>
            </w:r>
          </w:p>
          <w:p w:rsidR="009E1219" w:rsidRDefault="009E1219">
            <w:pPr>
              <w:pStyle w:val="Textkrper"/>
              <w:jc w:val="both"/>
            </w:pPr>
            <w:r>
              <w:rPr>
                <w:sz w:val="16"/>
              </w:rPr>
              <w:t>10405 Berlin</w:t>
            </w:r>
          </w:p>
          <w:p w:rsidR="009E1219" w:rsidRDefault="009E1219">
            <w:pPr>
              <w:pStyle w:val="Textkrper"/>
              <w:jc w:val="both"/>
            </w:pPr>
            <w:r>
              <w:rPr>
                <w:sz w:val="16"/>
              </w:rPr>
              <w:t>Tel.: 0 30 / 53 89 65 -0</w:t>
            </w:r>
          </w:p>
          <w:p w:rsidR="009E1219" w:rsidRDefault="009E1219">
            <w:pPr>
              <w:pStyle w:val="Textkrper"/>
              <w:jc w:val="both"/>
            </w:pPr>
            <w:r>
              <w:rPr>
                <w:sz w:val="16"/>
              </w:rPr>
              <w:t>Fax: 0 30 / 53 89 65 -29</w:t>
            </w:r>
          </w:p>
          <w:p w:rsidR="009E1219" w:rsidRDefault="009E1219">
            <w:pPr>
              <w:pStyle w:val="Textkrper"/>
              <w:jc w:val="both"/>
            </w:pPr>
            <w:r>
              <w:rPr>
                <w:sz w:val="16"/>
              </w:rPr>
              <w:t>E-Mail: info@gii.de</w:t>
            </w:r>
          </w:p>
          <w:p w:rsidR="009E1219" w:rsidRDefault="009E1219">
            <w:pPr>
              <w:pStyle w:val="Textkrper"/>
              <w:jc w:val="both"/>
            </w:pPr>
            <w:r>
              <w:rPr>
                <w:sz w:val="16"/>
              </w:rPr>
              <w:t>Internet: www.gii.de</w:t>
            </w:r>
          </w:p>
        </w:tc>
      </w:tr>
    </w:tbl>
    <w:p w:rsidR="009E1219" w:rsidRDefault="009E1219"/>
    <w:p w:rsidR="00156B32" w:rsidRDefault="00156B32"/>
    <w:p w:rsidR="00156B32" w:rsidRDefault="00156B32"/>
    <w:p w:rsidR="00156B32" w:rsidRDefault="00156B32"/>
    <w:p w:rsidR="00156B32" w:rsidRDefault="00156B32"/>
    <w:p w:rsidR="00156B32" w:rsidRDefault="00156B32"/>
    <w:p w:rsidR="00156B32" w:rsidRDefault="00156B32"/>
    <w:p w:rsidR="00156B32" w:rsidRDefault="00156B32"/>
    <w:sectPr w:rsidR="00156B32">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809" w:rsidRDefault="002A1809">
      <w:r>
        <w:separator/>
      </w:r>
    </w:p>
  </w:endnote>
  <w:endnote w:type="continuationSeparator" w:id="0">
    <w:p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Calibri"/>
    <w:charset w:val="01"/>
    <w:family w:val="auto"/>
    <w:pitch w:val="variable"/>
  </w:font>
  <w:font w:name="FuturaA Bk BT">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809" w:rsidRDefault="002A1809">
      <w:r>
        <w:separator/>
      </w:r>
    </w:p>
  </w:footnote>
  <w:footnote w:type="continuationSeparator" w:id="0">
    <w:p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30550B">
      <w:rPr>
        <w:rStyle w:val="Seitenzahl"/>
        <w:sz w:val="18"/>
      </w:rPr>
      <w:t>Skalierbare CAN-Module im Agrareinsatz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173B0"/>
    <w:rsid w:val="000E257F"/>
    <w:rsid w:val="0011762D"/>
    <w:rsid w:val="001566F6"/>
    <w:rsid w:val="00156B32"/>
    <w:rsid w:val="00176489"/>
    <w:rsid w:val="001C5222"/>
    <w:rsid w:val="001C5924"/>
    <w:rsid w:val="002A1809"/>
    <w:rsid w:val="003045F0"/>
    <w:rsid w:val="0030550B"/>
    <w:rsid w:val="00340B93"/>
    <w:rsid w:val="00437961"/>
    <w:rsid w:val="00444C5A"/>
    <w:rsid w:val="00557BE4"/>
    <w:rsid w:val="0057704D"/>
    <w:rsid w:val="00595950"/>
    <w:rsid w:val="006740A6"/>
    <w:rsid w:val="00753428"/>
    <w:rsid w:val="007B1090"/>
    <w:rsid w:val="009C13BF"/>
    <w:rsid w:val="009E1219"/>
    <w:rsid w:val="00A36CD5"/>
    <w:rsid w:val="00AE5236"/>
    <w:rsid w:val="00AF3260"/>
    <w:rsid w:val="00B20A58"/>
    <w:rsid w:val="00CD5E32"/>
    <w:rsid w:val="00D94A90"/>
    <w:rsid w:val="00E866ED"/>
    <w:rsid w:val="00EA41CA"/>
    <w:rsid w:val="00EF43E2"/>
    <w:rsid w:val="00F8624D"/>
    <w:rsid w:val="00F959D3"/>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mithellemGitternetz">
    <w:name w:val="Grid Table Light"/>
    <w:basedOn w:val="NormaleTabelle"/>
    <w:uiPriority w:val="40"/>
    <w:rsid w:val="007B10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ltype">
    <w:name w:val="col_type"/>
    <w:basedOn w:val="Absatz-Standardschriftart"/>
    <w:rsid w:val="00117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7</cp:revision>
  <cp:lastPrinted>2002-09-20T12:05:00Z</cp:lastPrinted>
  <dcterms:created xsi:type="dcterms:W3CDTF">2019-10-25T13:29:00Z</dcterms:created>
  <dcterms:modified xsi:type="dcterms:W3CDTF">2019-11-13T14:36:00Z</dcterms:modified>
</cp:coreProperties>
</file>