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0727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20D66A0B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5CAED9AC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3AE185BC" w14:textId="56751065" w:rsidR="008610FA" w:rsidRDefault="00D42849" w:rsidP="00A555F8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Neue </w:t>
      </w:r>
      <w:r w:rsidR="00D40A47" w:rsidRPr="00D40A47">
        <w:rPr>
          <w:b/>
          <w:sz w:val="24"/>
        </w:rPr>
        <w:t>RAFI</w:t>
      </w:r>
      <w:r w:rsidR="00FA6496">
        <w:rPr>
          <w:b/>
          <w:sz w:val="24"/>
        </w:rPr>
        <w:t>X</w:t>
      </w:r>
      <w:r w:rsidR="00D40A47">
        <w:rPr>
          <w:b/>
          <w:sz w:val="24"/>
        </w:rPr>
        <w:t>-</w:t>
      </w:r>
      <w:r w:rsidR="00B23E8D">
        <w:rPr>
          <w:b/>
          <w:sz w:val="24"/>
        </w:rPr>
        <w:t xml:space="preserve">Meldeleuchte </w:t>
      </w:r>
      <w:r w:rsidR="001A2F1B">
        <w:rPr>
          <w:b/>
          <w:sz w:val="24"/>
        </w:rPr>
        <w:t>r</w:t>
      </w:r>
      <w:r w:rsidR="00A52C07">
        <w:rPr>
          <w:b/>
          <w:sz w:val="24"/>
        </w:rPr>
        <w:t>ot</w:t>
      </w:r>
      <w:r w:rsidR="001A2F1B">
        <w:rPr>
          <w:b/>
          <w:sz w:val="24"/>
        </w:rPr>
        <w:t>/g</w:t>
      </w:r>
      <w:r w:rsidR="00D40A47">
        <w:rPr>
          <w:b/>
          <w:sz w:val="24"/>
        </w:rPr>
        <w:t>rün</w:t>
      </w:r>
    </w:p>
    <w:p w14:paraId="78D44680" w14:textId="77777777" w:rsidR="008610FA" w:rsidRDefault="008610FA">
      <w:pPr>
        <w:suppressAutoHyphens/>
        <w:spacing w:line="360" w:lineRule="auto"/>
        <w:ind w:right="-2"/>
        <w:rPr>
          <w:b/>
          <w:sz w:val="24"/>
        </w:rPr>
      </w:pPr>
    </w:p>
    <w:p w14:paraId="10C80529" w14:textId="661E3660" w:rsidR="0035149A" w:rsidRPr="00B46FB9" w:rsidRDefault="00B073CD" w:rsidP="00B8278D">
      <w:pPr>
        <w:suppressAutoHyphens/>
        <w:spacing w:line="360" w:lineRule="auto"/>
        <w:ind w:right="-2"/>
        <w:jc w:val="both"/>
      </w:pPr>
      <w:r>
        <w:t>RAFI erweitert sein Befehlsgeräte-Programm</w:t>
      </w:r>
      <w:r w:rsidR="00A27C49">
        <w:t xml:space="preserve"> </w:t>
      </w:r>
      <w:r>
        <w:t>RAFIX 22 FS</w:t>
      </w:r>
      <w:r w:rsidRPr="00834AEE">
        <w:rPr>
          <w:vertAlign w:val="superscript"/>
        </w:rPr>
        <w:t>+</w:t>
      </w:r>
      <w:r>
        <w:t xml:space="preserve"> </w:t>
      </w:r>
      <w:r w:rsidR="0004439A">
        <w:t xml:space="preserve">um </w:t>
      </w:r>
      <w:r w:rsidR="006B5409">
        <w:t xml:space="preserve">eine </w:t>
      </w:r>
      <w:r w:rsidR="0004439A">
        <w:t>Meldel</w:t>
      </w:r>
      <w:r>
        <w:t>euchte</w:t>
      </w:r>
      <w:r w:rsidR="0004439A">
        <w:t xml:space="preserve"> mit </w:t>
      </w:r>
      <w:r w:rsidR="006B5409">
        <w:t xml:space="preserve">integrierter </w:t>
      </w:r>
      <w:r w:rsidR="001A2F1B">
        <w:t>roter und gr</w:t>
      </w:r>
      <w:r w:rsidR="006B5409">
        <w:t>ün</w:t>
      </w:r>
      <w:r w:rsidR="001A2F1B">
        <w:t xml:space="preserve">er </w:t>
      </w:r>
      <w:r w:rsidR="00E90C79">
        <w:t>LE</w:t>
      </w:r>
      <w:r w:rsidR="004C1128">
        <w:t xml:space="preserve">D </w:t>
      </w:r>
      <w:r w:rsidR="00C7205D">
        <w:t xml:space="preserve">mit der sich </w:t>
      </w:r>
      <w:r w:rsidR="00C152C8">
        <w:t xml:space="preserve">drei </w:t>
      </w:r>
      <w:r w:rsidR="009662A2">
        <w:t>Melde</w:t>
      </w:r>
      <w:r w:rsidR="00C152C8">
        <w:t xml:space="preserve">zustände </w:t>
      </w:r>
      <w:r w:rsidR="001A2F1B">
        <w:t xml:space="preserve">in einer Leuchte </w:t>
      </w:r>
      <w:r w:rsidR="009662A2">
        <w:t>anzeigen</w:t>
      </w:r>
      <w:r w:rsidR="00C152C8">
        <w:t xml:space="preserve"> </w:t>
      </w:r>
      <w:r w:rsidR="009662A2">
        <w:t>lassen:</w:t>
      </w:r>
      <w:r w:rsidR="00C152C8">
        <w:t xml:space="preserve"> </w:t>
      </w:r>
      <w:r w:rsidR="00022234">
        <w:t>D</w:t>
      </w:r>
      <w:r w:rsidR="005A6086">
        <w:t>ie</w:t>
      </w:r>
      <w:r w:rsidR="00022234">
        <w:t xml:space="preserve"> im </w:t>
      </w:r>
      <w:r w:rsidR="00C152C8">
        <w:t xml:space="preserve">Ruhezustand </w:t>
      </w:r>
      <w:r w:rsidR="00022234">
        <w:t xml:space="preserve">neutral weiße, transluzente </w:t>
      </w:r>
      <w:r w:rsidR="005A6086">
        <w:t>Blende</w:t>
      </w:r>
      <w:r w:rsidR="00022234">
        <w:t xml:space="preserve"> </w:t>
      </w:r>
      <w:r w:rsidR="009662A2">
        <w:t xml:space="preserve">signalisiert </w:t>
      </w:r>
      <w:r w:rsidR="008260A4">
        <w:t>de</w:t>
      </w:r>
      <w:r w:rsidR="009662A2">
        <w:t xml:space="preserve">n </w:t>
      </w:r>
      <w:r w:rsidR="00D0603F">
        <w:t xml:space="preserve">regulären </w:t>
      </w:r>
      <w:r w:rsidR="00D42849">
        <w:t xml:space="preserve">Betriebszustand </w:t>
      </w:r>
      <w:r w:rsidR="001D52AA">
        <w:t>mit</w:t>
      </w:r>
      <w:r w:rsidR="009662A2">
        <w:t xml:space="preserve"> </w:t>
      </w:r>
      <w:r w:rsidR="00D42849">
        <w:t>grün</w:t>
      </w:r>
      <w:r w:rsidR="001D52AA">
        <w:t>er</w:t>
      </w:r>
      <w:r w:rsidR="00D42849">
        <w:t xml:space="preserve"> </w:t>
      </w:r>
      <w:r w:rsidR="00022234">
        <w:t xml:space="preserve">und </w:t>
      </w:r>
      <w:r w:rsidR="00C7205D">
        <w:t xml:space="preserve">Störungen </w:t>
      </w:r>
      <w:r w:rsidR="001D52AA">
        <w:t>mit roter A</w:t>
      </w:r>
      <w:r w:rsidR="00022234">
        <w:t>usleucht</w:t>
      </w:r>
      <w:r w:rsidR="001D52AA">
        <w:t>ung</w:t>
      </w:r>
      <w:r w:rsidR="00022234">
        <w:t>.</w:t>
      </w:r>
      <w:r w:rsidR="009B7727">
        <w:t xml:space="preserve"> </w:t>
      </w:r>
      <w:r w:rsidR="004D1C95">
        <w:t xml:space="preserve">Die Leuchten haben einen Durchmesser von 29,8 mm und eine Aufbauhöhe von 14,4 mm. </w:t>
      </w:r>
      <w:r w:rsidR="001A2F1B" w:rsidRPr="00A27C49">
        <w:rPr>
          <w:bCs/>
        </w:rPr>
        <w:t xml:space="preserve">Durch die gewölbte Oberfläche sind die Anzeigen auch seitlich gut zu erkennen. </w:t>
      </w:r>
      <w:r w:rsidR="004D1C95">
        <w:t xml:space="preserve">Wie </w:t>
      </w:r>
      <w:r w:rsidR="009B7727" w:rsidRPr="009B7727">
        <w:t>alle Befehls- und Meldegeräte der Serie RAFIX 22 FS</w:t>
      </w:r>
      <w:r w:rsidR="009B7727" w:rsidRPr="009B7727">
        <w:rPr>
          <w:vertAlign w:val="superscript"/>
        </w:rPr>
        <w:t>+</w:t>
      </w:r>
      <w:r w:rsidR="009B7727" w:rsidRPr="009B7727">
        <w:t xml:space="preserve"> </w:t>
      </w:r>
      <w:r w:rsidR="004D1C95">
        <w:t xml:space="preserve">sind </w:t>
      </w:r>
      <w:r w:rsidR="00FA4770">
        <w:t xml:space="preserve">sie </w:t>
      </w:r>
      <w:r w:rsidR="009B7727" w:rsidRPr="009B7727">
        <w:t>für Standardeinbauöffnungen von 22,3 mm dimensioniert</w:t>
      </w:r>
      <w:r w:rsidR="00FA4770">
        <w:t xml:space="preserve"> und verfügen über die </w:t>
      </w:r>
      <w:r w:rsidR="00A56DF8">
        <w:t>frontseitig</w:t>
      </w:r>
      <w:r w:rsidR="00FA4770">
        <w:t>e</w:t>
      </w:r>
      <w:r w:rsidR="00A56DF8">
        <w:t xml:space="preserve"> </w:t>
      </w:r>
      <w:r w:rsidR="00A56DF8" w:rsidRPr="00F71E78">
        <w:rPr>
          <w:color w:val="auto"/>
        </w:rPr>
        <w:t>Schutzart IP65</w:t>
      </w:r>
      <w:r w:rsidR="00FA4770">
        <w:rPr>
          <w:color w:val="auto"/>
        </w:rPr>
        <w:t>. Die Einbautiefe beträgt 25</w:t>
      </w:r>
      <w:r w:rsidR="001A2F1B">
        <w:rPr>
          <w:color w:val="auto"/>
        </w:rPr>
        <w:t>,</w:t>
      </w:r>
      <w:r w:rsidR="00FA4770">
        <w:rPr>
          <w:color w:val="auto"/>
        </w:rPr>
        <w:t>25 mm.</w:t>
      </w:r>
      <w:r w:rsidR="00A56DF8">
        <w:t xml:space="preserve"> </w:t>
      </w:r>
      <w:r w:rsidR="00B8278D">
        <w:t xml:space="preserve">Die Anzeige verschiedener Zustände wird </w:t>
      </w:r>
      <w:r w:rsidR="009B7727">
        <w:t xml:space="preserve">durch </w:t>
      </w:r>
      <w:r w:rsidR="0032065C">
        <w:t>getrennte</w:t>
      </w:r>
      <w:r w:rsidR="00B8278D">
        <w:t>, verpol</w:t>
      </w:r>
      <w:r w:rsidR="009B7727">
        <w:t>ungs</w:t>
      </w:r>
      <w:r w:rsidR="00B8278D">
        <w:t xml:space="preserve">geschützte </w:t>
      </w:r>
      <w:r w:rsidR="009B7727">
        <w:t>A</w:t>
      </w:r>
      <w:r w:rsidR="0032065C">
        <w:t xml:space="preserve">nschlüsse </w:t>
      </w:r>
      <w:r w:rsidR="00B8278D">
        <w:t xml:space="preserve">für </w:t>
      </w:r>
      <w:r w:rsidR="0032065C">
        <w:t>2,8 mm</w:t>
      </w:r>
      <w:r w:rsidR="009B7727">
        <w:t> </w:t>
      </w:r>
      <w:r w:rsidR="0032065C">
        <w:t>x</w:t>
      </w:r>
      <w:r w:rsidR="009B7727">
        <w:t> </w:t>
      </w:r>
      <w:r w:rsidR="0032065C">
        <w:t>0,8 mm</w:t>
      </w:r>
      <w:r w:rsidR="009B7727">
        <w:t xml:space="preserve">-Flachstecker </w:t>
      </w:r>
      <w:r w:rsidR="00C27579">
        <w:t>und</w:t>
      </w:r>
      <w:r w:rsidR="00FA4770">
        <w:t xml:space="preserve"> Betriebsspannungen von 8 VDC bis 30 VDC </w:t>
      </w:r>
      <w:r w:rsidR="009B7727">
        <w:t>ermöglicht.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46FB9" w:rsidRPr="00B46FB9" w14:paraId="3011BA46" w14:textId="77777777" w:rsidTr="00834580">
        <w:tc>
          <w:tcPr>
            <w:tcW w:w="7226" w:type="dxa"/>
            <w:shd w:val="clear" w:color="auto" w:fill="auto"/>
          </w:tcPr>
          <w:p w14:paraId="09EEFAA1" w14:textId="590B772F" w:rsidR="00B46FB9" w:rsidRPr="00B46FB9" w:rsidRDefault="00256EC7" w:rsidP="00B46FB9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E82011" wp14:editId="78C985C8">
                  <wp:extent cx="4528038" cy="2354580"/>
                  <wp:effectExtent l="0" t="0" r="635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FIX_22_FS-Meldeleuchten_DE_1000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037" cy="235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FB9" w:rsidRPr="00B46FB9" w14:paraId="017C6B81" w14:textId="77777777" w:rsidTr="00834580">
        <w:tc>
          <w:tcPr>
            <w:tcW w:w="7226" w:type="dxa"/>
            <w:shd w:val="clear" w:color="auto" w:fill="auto"/>
          </w:tcPr>
          <w:p w14:paraId="3323DA5A" w14:textId="25C6CB61" w:rsidR="00B46FB9" w:rsidRPr="00FA6496" w:rsidRDefault="00B46FB9" w:rsidP="005A6086">
            <w:pPr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FA6496">
              <w:rPr>
                <w:b/>
                <w:sz w:val="18"/>
                <w:szCs w:val="18"/>
              </w:rPr>
              <w:t>Bild:</w:t>
            </w:r>
            <w:r w:rsidRPr="00FA6496">
              <w:rPr>
                <w:sz w:val="18"/>
                <w:szCs w:val="18"/>
              </w:rPr>
              <w:t xml:space="preserve"> </w:t>
            </w:r>
            <w:r w:rsidR="00FA6496">
              <w:rPr>
                <w:sz w:val="18"/>
                <w:szCs w:val="18"/>
              </w:rPr>
              <w:t xml:space="preserve">Die neue </w:t>
            </w:r>
            <w:r w:rsidR="005A6086" w:rsidRPr="00FA6496">
              <w:rPr>
                <w:sz w:val="18"/>
                <w:szCs w:val="18"/>
              </w:rPr>
              <w:t>RAFIX 22 FS</w:t>
            </w:r>
            <w:r w:rsidR="005A6086" w:rsidRPr="00FA6496">
              <w:rPr>
                <w:sz w:val="18"/>
                <w:szCs w:val="18"/>
                <w:vertAlign w:val="superscript"/>
              </w:rPr>
              <w:t>+</w:t>
            </w:r>
            <w:r w:rsidR="005A6086" w:rsidRPr="00FA6496">
              <w:rPr>
                <w:sz w:val="18"/>
                <w:szCs w:val="18"/>
              </w:rPr>
              <w:t xml:space="preserve"> Meldeleuchte in </w:t>
            </w:r>
            <w:r w:rsidR="00A27C49" w:rsidRPr="00FA6496">
              <w:rPr>
                <w:sz w:val="18"/>
                <w:szCs w:val="18"/>
              </w:rPr>
              <w:t>drei</w:t>
            </w:r>
            <w:r w:rsidR="005A6086" w:rsidRPr="00FA6496">
              <w:rPr>
                <w:sz w:val="18"/>
                <w:szCs w:val="18"/>
              </w:rPr>
              <w:t xml:space="preserve"> Zuständen</w:t>
            </w:r>
          </w:p>
        </w:tc>
      </w:tr>
    </w:tbl>
    <w:p w14:paraId="1D34E38F" w14:textId="093C72B7" w:rsidR="008610FA" w:rsidRDefault="008610FA">
      <w:pPr>
        <w:suppressAutoHyphens/>
        <w:spacing w:line="360" w:lineRule="auto"/>
        <w:jc w:val="both"/>
      </w:pPr>
    </w:p>
    <w:p w14:paraId="6F09975E" w14:textId="5E00D686" w:rsidR="00A27C49" w:rsidRDefault="00A27C49">
      <w:pPr>
        <w:suppressAutoHyphens/>
        <w:spacing w:line="360" w:lineRule="auto"/>
        <w:jc w:val="both"/>
      </w:pPr>
    </w:p>
    <w:p w14:paraId="6132C9BD" w14:textId="7472498C" w:rsidR="00A27C49" w:rsidRDefault="00A27C49">
      <w:pPr>
        <w:suppressAutoHyphens/>
        <w:spacing w:line="360" w:lineRule="auto"/>
        <w:jc w:val="both"/>
      </w:pPr>
    </w:p>
    <w:p w14:paraId="5F7C83A8" w14:textId="46D3B15A" w:rsidR="00A27C49" w:rsidRDefault="00A27C49">
      <w:pPr>
        <w:suppressAutoHyphens/>
        <w:spacing w:line="360" w:lineRule="auto"/>
        <w:jc w:val="both"/>
      </w:pPr>
    </w:p>
    <w:p w14:paraId="4247A40F" w14:textId="516DAF89" w:rsidR="00A27C49" w:rsidRDefault="00A27C49">
      <w:pPr>
        <w:suppressAutoHyphens/>
        <w:spacing w:line="360" w:lineRule="auto"/>
        <w:jc w:val="both"/>
      </w:pPr>
    </w:p>
    <w:p w14:paraId="77F3FDAC" w14:textId="6657A6B1" w:rsidR="00A27C49" w:rsidRDefault="00A27C49">
      <w:pPr>
        <w:suppressAutoHyphens/>
        <w:spacing w:line="360" w:lineRule="auto"/>
        <w:jc w:val="both"/>
      </w:pPr>
    </w:p>
    <w:p w14:paraId="4BA2D434" w14:textId="40B3AB0D" w:rsidR="00A27C49" w:rsidRDefault="00A27C49">
      <w:pPr>
        <w:suppressAutoHyphens/>
        <w:spacing w:line="360" w:lineRule="auto"/>
        <w:jc w:val="both"/>
      </w:pPr>
    </w:p>
    <w:p w14:paraId="47B5FB99" w14:textId="2B81E94F" w:rsidR="00A27C49" w:rsidRDefault="00A27C49">
      <w:pPr>
        <w:suppressAutoHyphens/>
        <w:spacing w:line="360" w:lineRule="auto"/>
        <w:jc w:val="both"/>
      </w:pPr>
    </w:p>
    <w:p w14:paraId="31E0558A" w14:textId="063E60CF" w:rsidR="00A27C49" w:rsidRDefault="00A27C49">
      <w:pPr>
        <w:suppressAutoHyphens/>
        <w:spacing w:line="360" w:lineRule="auto"/>
        <w:jc w:val="both"/>
      </w:pPr>
    </w:p>
    <w:p w14:paraId="2214983A" w14:textId="0B20B74D" w:rsidR="00A27C49" w:rsidRDefault="00A27C49">
      <w:pPr>
        <w:suppressAutoHyphens/>
        <w:spacing w:line="360" w:lineRule="auto"/>
        <w:jc w:val="both"/>
      </w:pPr>
    </w:p>
    <w:p w14:paraId="0124AA5E" w14:textId="77777777" w:rsidR="00A27C49" w:rsidRDefault="00A27C49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800353" w:rsidRPr="00800353" w14:paraId="0771E8E7" w14:textId="77777777" w:rsidTr="00C25EF5">
        <w:trPr>
          <w:cantSplit/>
        </w:trPr>
        <w:tc>
          <w:tcPr>
            <w:tcW w:w="1151" w:type="dxa"/>
            <w:shd w:val="clear" w:color="auto" w:fill="auto"/>
          </w:tcPr>
          <w:p w14:paraId="110A9CD0" w14:textId="77777777" w:rsidR="00800353" w:rsidRPr="00800353" w:rsidRDefault="00800353" w:rsidP="00800353">
            <w:pPr>
              <w:suppressAutoHyphens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5F2E9334" w14:textId="5E1ABEB3" w:rsidR="00800353" w:rsidRPr="00800353" w:rsidRDefault="00256EC7" w:rsidP="00800353">
            <w:pPr>
              <w:suppressAutoHyphens/>
              <w:rPr>
                <w:color w:val="auto"/>
                <w:sz w:val="18"/>
              </w:rPr>
            </w:pPr>
            <w:r w:rsidRPr="00256EC7">
              <w:rPr>
                <w:color w:val="auto"/>
                <w:sz w:val="18"/>
              </w:rPr>
              <w:t>RAFIX_22_FS-Meldeleuchten_DE</w:t>
            </w:r>
          </w:p>
        </w:tc>
        <w:tc>
          <w:tcPr>
            <w:tcW w:w="850" w:type="dxa"/>
            <w:shd w:val="clear" w:color="auto" w:fill="auto"/>
          </w:tcPr>
          <w:p w14:paraId="18D22236" w14:textId="77777777" w:rsidR="00800353" w:rsidRPr="00800353" w:rsidRDefault="00800353" w:rsidP="00800353">
            <w:pPr>
              <w:suppressAutoHyphens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50772FCF" w14:textId="42B3DD45" w:rsidR="00800353" w:rsidRPr="00800353" w:rsidRDefault="00A27C49" w:rsidP="00800353">
            <w:pPr>
              <w:suppressAutoHyphens/>
              <w:jc w:val="right"/>
              <w:rPr>
                <w:color w:val="auto"/>
              </w:rPr>
            </w:pPr>
            <w:r>
              <w:rPr>
                <w:color w:val="auto"/>
                <w:sz w:val="18"/>
              </w:rPr>
              <w:t>870</w:t>
            </w:r>
          </w:p>
        </w:tc>
      </w:tr>
      <w:tr w:rsidR="00800353" w:rsidRPr="00800353" w14:paraId="7BA87DAC" w14:textId="77777777" w:rsidTr="00C25EF5">
        <w:trPr>
          <w:cantSplit/>
        </w:trPr>
        <w:tc>
          <w:tcPr>
            <w:tcW w:w="1151" w:type="dxa"/>
            <w:shd w:val="clear" w:color="auto" w:fill="auto"/>
          </w:tcPr>
          <w:p w14:paraId="38008B15" w14:textId="77777777" w:rsidR="00800353" w:rsidRPr="00800353" w:rsidRDefault="00800353" w:rsidP="00800353">
            <w:pPr>
              <w:suppressAutoHyphens/>
              <w:spacing w:before="120"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7E48211" w14:textId="77777777" w:rsidR="00800353" w:rsidRPr="00800353" w:rsidRDefault="000F7C5F" w:rsidP="00800353">
            <w:pPr>
              <w:suppressAutoHyphens/>
              <w:spacing w:before="120"/>
              <w:rPr>
                <w:color w:val="auto"/>
                <w:sz w:val="18"/>
              </w:rPr>
            </w:pPr>
            <w:r w:rsidRPr="000F7C5F">
              <w:rPr>
                <w:color w:val="auto"/>
                <w:sz w:val="18"/>
              </w:rPr>
              <w:t>202014009_PM_RAFIX_22_FS-Meldeleuchten_mit_rot-gruen-LED</w:t>
            </w:r>
          </w:p>
        </w:tc>
        <w:tc>
          <w:tcPr>
            <w:tcW w:w="850" w:type="dxa"/>
            <w:shd w:val="clear" w:color="auto" w:fill="auto"/>
          </w:tcPr>
          <w:p w14:paraId="645E8D0E" w14:textId="77777777" w:rsidR="00800353" w:rsidRPr="00800353" w:rsidRDefault="00800353" w:rsidP="00800353">
            <w:pPr>
              <w:suppressAutoHyphens/>
              <w:spacing w:before="120"/>
              <w:jc w:val="both"/>
              <w:rPr>
                <w:color w:val="auto"/>
                <w:sz w:val="18"/>
              </w:rPr>
            </w:pPr>
            <w:r w:rsidRPr="00800353">
              <w:rPr>
                <w:color w:val="auto"/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1A564BD9" w14:textId="46D1BFA8" w:rsidR="00800353" w:rsidRPr="00800353" w:rsidRDefault="00D44E3B" w:rsidP="00800353">
            <w:pPr>
              <w:suppressAutoHyphens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  <w:sz w:val="18"/>
              </w:rPr>
              <w:t>21.07.2020</w:t>
            </w:r>
          </w:p>
        </w:tc>
      </w:tr>
    </w:tbl>
    <w:p w14:paraId="09EA3862" w14:textId="77777777" w:rsidR="00800353" w:rsidRDefault="00800353">
      <w:pPr>
        <w:suppressAutoHyphens/>
        <w:spacing w:line="360" w:lineRule="auto"/>
        <w:jc w:val="both"/>
      </w:pPr>
    </w:p>
    <w:p w14:paraId="7981B5AE" w14:textId="77777777"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0023C941" w14:textId="77777777" w:rsidR="008610FA" w:rsidRDefault="00137065" w:rsidP="00137065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</w:t>
      </w:r>
      <w:r w:rsidRPr="007E5FE5">
        <w:rPr>
          <w:color w:val="auto"/>
          <w:sz w:val="16"/>
          <w:szCs w:val="16"/>
        </w:rPr>
        <w:t xml:space="preserve"> in Haushaltsgeräten sowie in der Telekommunikation. Die RAFI-Gruppe agiert weltweit mit </w:t>
      </w:r>
      <w:r w:rsidR="005A6086" w:rsidRPr="007E5FE5">
        <w:rPr>
          <w:color w:val="auto"/>
          <w:sz w:val="16"/>
          <w:szCs w:val="16"/>
        </w:rPr>
        <w:t>über</w:t>
      </w:r>
      <w:r w:rsidRPr="007E5FE5">
        <w:rPr>
          <w:color w:val="auto"/>
          <w:sz w:val="16"/>
          <w:szCs w:val="16"/>
        </w:rPr>
        <w:t xml:space="preserve"> 2.</w:t>
      </w:r>
      <w:r w:rsidR="005A6086" w:rsidRPr="007E5FE5">
        <w:rPr>
          <w:color w:val="auto"/>
          <w:sz w:val="16"/>
          <w:szCs w:val="16"/>
        </w:rPr>
        <w:t>0</w:t>
      </w:r>
      <w:r w:rsidRPr="007E5FE5">
        <w:rPr>
          <w:color w:val="auto"/>
          <w:sz w:val="16"/>
          <w:szCs w:val="16"/>
        </w:rPr>
        <w:t xml:space="preserve">00 Mitarbeitern </w:t>
      </w:r>
      <w:r w:rsidRPr="00137065">
        <w:rPr>
          <w:sz w:val="16"/>
          <w:szCs w:val="16"/>
        </w:rPr>
        <w:t>an Standorten in Deutschland, Europa, China und USA. Der Hauptsitz der RAFI-Firmengruppe befindet sich in Berg bei Ravensburg.</w:t>
      </w:r>
    </w:p>
    <w:p w14:paraId="77EC6B99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1DD9A329" w14:textId="77777777">
        <w:tc>
          <w:tcPr>
            <w:tcW w:w="3755" w:type="dxa"/>
            <w:shd w:val="clear" w:color="auto" w:fill="auto"/>
          </w:tcPr>
          <w:p w14:paraId="43E8B422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515365A0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076E8CD6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371D9BD3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05EFBC55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5918B1B7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23669319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14:paraId="3125E2DA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14:paraId="157C8496" w14:textId="77777777"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14:paraId="64F73B97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7BB60C88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120BC734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68E5CADD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2A46A3C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088C537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14:paraId="0A6BDE7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674359D1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41551584" w14:textId="77777777" w:rsidR="00652A7B" w:rsidRDefault="00652A7B">
      <w:pPr>
        <w:suppressAutoHyphens/>
      </w:pPr>
    </w:p>
    <w:sectPr w:rsidR="00652A7B" w:rsidSect="001A2F1B">
      <w:headerReference w:type="default" r:id="rId8"/>
      <w:headerReference w:type="first" r:id="rId9"/>
      <w:pgSz w:w="11906" w:h="16838"/>
      <w:pgMar w:top="2268" w:right="2692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FC43" w14:textId="77777777" w:rsidR="00802D8B" w:rsidRDefault="00802D8B">
      <w:r>
        <w:separator/>
      </w:r>
    </w:p>
  </w:endnote>
  <w:endnote w:type="continuationSeparator" w:id="0">
    <w:p w14:paraId="6650497D" w14:textId="77777777" w:rsidR="00802D8B" w:rsidRDefault="008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7128" w14:textId="77777777" w:rsidR="00802D8B" w:rsidRDefault="00802D8B">
      <w:r>
        <w:separator/>
      </w:r>
    </w:p>
  </w:footnote>
  <w:footnote w:type="continuationSeparator" w:id="0">
    <w:p w14:paraId="00FECC2D" w14:textId="77777777" w:rsidR="00802D8B" w:rsidRDefault="0080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F3CF" w14:textId="7902D70C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1FEE111" wp14:editId="4A0D1B4C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34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73DD0F71" wp14:editId="02A66448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5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A54C32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A27C49">
      <w:t>RAFIX 22 FS</w:t>
    </w:r>
    <w:r w:rsidR="00A27C49" w:rsidRPr="00834AEE">
      <w:rPr>
        <w:vertAlign w:val="superscript"/>
      </w:rPr>
      <w:t>+</w:t>
    </w:r>
    <w:r w:rsidR="00A27C49">
      <w:t xml:space="preserve"> Meldeleuchte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FA01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4461C5F1" wp14:editId="75F399B3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36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1D5C4F22" wp14:editId="79547C6D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37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22234"/>
    <w:rsid w:val="00022FF8"/>
    <w:rsid w:val="000314DA"/>
    <w:rsid w:val="0004439A"/>
    <w:rsid w:val="0007223F"/>
    <w:rsid w:val="00085758"/>
    <w:rsid w:val="000D1A48"/>
    <w:rsid w:val="000E5DAD"/>
    <w:rsid w:val="000F7C5F"/>
    <w:rsid w:val="00114C37"/>
    <w:rsid w:val="0013582D"/>
    <w:rsid w:val="001366D3"/>
    <w:rsid w:val="00137065"/>
    <w:rsid w:val="00172B40"/>
    <w:rsid w:val="001A2F1B"/>
    <w:rsid w:val="001C2487"/>
    <w:rsid w:val="001D52AA"/>
    <w:rsid w:val="00200B24"/>
    <w:rsid w:val="00205A6E"/>
    <w:rsid w:val="00210B0D"/>
    <w:rsid w:val="002171FC"/>
    <w:rsid w:val="002314C9"/>
    <w:rsid w:val="0023543A"/>
    <w:rsid w:val="0023756E"/>
    <w:rsid w:val="00256EC7"/>
    <w:rsid w:val="00287D9D"/>
    <w:rsid w:val="002D0C96"/>
    <w:rsid w:val="002D16CC"/>
    <w:rsid w:val="002D574B"/>
    <w:rsid w:val="002F0B84"/>
    <w:rsid w:val="00310644"/>
    <w:rsid w:val="003205EB"/>
    <w:rsid w:val="0032065C"/>
    <w:rsid w:val="003270A4"/>
    <w:rsid w:val="0035149A"/>
    <w:rsid w:val="0036022E"/>
    <w:rsid w:val="00361838"/>
    <w:rsid w:val="00367E3F"/>
    <w:rsid w:val="00373827"/>
    <w:rsid w:val="00377F75"/>
    <w:rsid w:val="0039471E"/>
    <w:rsid w:val="003D0ABB"/>
    <w:rsid w:val="003D0E5E"/>
    <w:rsid w:val="003D1C95"/>
    <w:rsid w:val="00414486"/>
    <w:rsid w:val="0042384D"/>
    <w:rsid w:val="00432005"/>
    <w:rsid w:val="0044339C"/>
    <w:rsid w:val="004550C9"/>
    <w:rsid w:val="00483990"/>
    <w:rsid w:val="004925A8"/>
    <w:rsid w:val="00493A9E"/>
    <w:rsid w:val="004959D0"/>
    <w:rsid w:val="004B259D"/>
    <w:rsid w:val="004B25E5"/>
    <w:rsid w:val="004C1128"/>
    <w:rsid w:val="004D1C95"/>
    <w:rsid w:val="004D6C2A"/>
    <w:rsid w:val="004E3A14"/>
    <w:rsid w:val="00502C45"/>
    <w:rsid w:val="00503436"/>
    <w:rsid w:val="00503B01"/>
    <w:rsid w:val="00541690"/>
    <w:rsid w:val="00545FB0"/>
    <w:rsid w:val="005659C0"/>
    <w:rsid w:val="00582F9C"/>
    <w:rsid w:val="00591B3A"/>
    <w:rsid w:val="005A6086"/>
    <w:rsid w:val="006158C7"/>
    <w:rsid w:val="00641F50"/>
    <w:rsid w:val="00652A7B"/>
    <w:rsid w:val="0065601D"/>
    <w:rsid w:val="00697B20"/>
    <w:rsid w:val="006B5409"/>
    <w:rsid w:val="006B5B6E"/>
    <w:rsid w:val="00717D27"/>
    <w:rsid w:val="00726A7C"/>
    <w:rsid w:val="0073075A"/>
    <w:rsid w:val="00741ADA"/>
    <w:rsid w:val="0074226F"/>
    <w:rsid w:val="00791865"/>
    <w:rsid w:val="00796260"/>
    <w:rsid w:val="007D1E36"/>
    <w:rsid w:val="007E5FE5"/>
    <w:rsid w:val="00800353"/>
    <w:rsid w:val="00802D8B"/>
    <w:rsid w:val="00815454"/>
    <w:rsid w:val="008225DB"/>
    <w:rsid w:val="008260A4"/>
    <w:rsid w:val="00834AEE"/>
    <w:rsid w:val="00842D80"/>
    <w:rsid w:val="00850598"/>
    <w:rsid w:val="008610FA"/>
    <w:rsid w:val="00876838"/>
    <w:rsid w:val="008802E8"/>
    <w:rsid w:val="00891291"/>
    <w:rsid w:val="00891D48"/>
    <w:rsid w:val="008B223D"/>
    <w:rsid w:val="008C0C18"/>
    <w:rsid w:val="00902C3B"/>
    <w:rsid w:val="00965D4A"/>
    <w:rsid w:val="009662A2"/>
    <w:rsid w:val="009751FA"/>
    <w:rsid w:val="009A241A"/>
    <w:rsid w:val="009A53EA"/>
    <w:rsid w:val="009B7727"/>
    <w:rsid w:val="009D5301"/>
    <w:rsid w:val="009F46C3"/>
    <w:rsid w:val="00A17A17"/>
    <w:rsid w:val="00A27C49"/>
    <w:rsid w:val="00A52C07"/>
    <w:rsid w:val="00A54C32"/>
    <w:rsid w:val="00A555F8"/>
    <w:rsid w:val="00A56DF8"/>
    <w:rsid w:val="00A82759"/>
    <w:rsid w:val="00A942E6"/>
    <w:rsid w:val="00AA4994"/>
    <w:rsid w:val="00AD243E"/>
    <w:rsid w:val="00AF1F81"/>
    <w:rsid w:val="00B01F78"/>
    <w:rsid w:val="00B073CD"/>
    <w:rsid w:val="00B11602"/>
    <w:rsid w:val="00B234BB"/>
    <w:rsid w:val="00B23E8D"/>
    <w:rsid w:val="00B364AE"/>
    <w:rsid w:val="00B46FB9"/>
    <w:rsid w:val="00B7629A"/>
    <w:rsid w:val="00B8278D"/>
    <w:rsid w:val="00BD1FD8"/>
    <w:rsid w:val="00BE7A14"/>
    <w:rsid w:val="00BF5EB2"/>
    <w:rsid w:val="00C03E06"/>
    <w:rsid w:val="00C152C8"/>
    <w:rsid w:val="00C226BD"/>
    <w:rsid w:val="00C27579"/>
    <w:rsid w:val="00C50CF6"/>
    <w:rsid w:val="00C553F8"/>
    <w:rsid w:val="00C67C1E"/>
    <w:rsid w:val="00C70606"/>
    <w:rsid w:val="00C7205D"/>
    <w:rsid w:val="00CB447C"/>
    <w:rsid w:val="00CC0409"/>
    <w:rsid w:val="00CE6C04"/>
    <w:rsid w:val="00CF5897"/>
    <w:rsid w:val="00D0603F"/>
    <w:rsid w:val="00D27D49"/>
    <w:rsid w:val="00D40A47"/>
    <w:rsid w:val="00D42849"/>
    <w:rsid w:val="00D44489"/>
    <w:rsid w:val="00D44E3B"/>
    <w:rsid w:val="00D66407"/>
    <w:rsid w:val="00DA2F61"/>
    <w:rsid w:val="00DE539F"/>
    <w:rsid w:val="00DE7C87"/>
    <w:rsid w:val="00E53C4D"/>
    <w:rsid w:val="00E650B2"/>
    <w:rsid w:val="00E6721B"/>
    <w:rsid w:val="00E71DBB"/>
    <w:rsid w:val="00E76148"/>
    <w:rsid w:val="00E90C79"/>
    <w:rsid w:val="00EA6146"/>
    <w:rsid w:val="00EB1EE8"/>
    <w:rsid w:val="00EB36E6"/>
    <w:rsid w:val="00EB7311"/>
    <w:rsid w:val="00EF451B"/>
    <w:rsid w:val="00F22E59"/>
    <w:rsid w:val="00F32648"/>
    <w:rsid w:val="00F33868"/>
    <w:rsid w:val="00F3508A"/>
    <w:rsid w:val="00F35E7F"/>
    <w:rsid w:val="00F44EA1"/>
    <w:rsid w:val="00F47F31"/>
    <w:rsid w:val="00F80BAC"/>
    <w:rsid w:val="00F8495E"/>
    <w:rsid w:val="00F94CD1"/>
    <w:rsid w:val="00FA4770"/>
    <w:rsid w:val="00FA6496"/>
    <w:rsid w:val="00FB24EE"/>
    <w:rsid w:val="00FC29B1"/>
    <w:rsid w:val="00FC5E55"/>
    <w:rsid w:val="00FD6FA4"/>
    <w:rsid w:val="00FE255C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68F9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E7A1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9</cp:revision>
  <cp:lastPrinted>2020-04-03T11:41:00Z</cp:lastPrinted>
  <dcterms:created xsi:type="dcterms:W3CDTF">2020-04-16T13:45:00Z</dcterms:created>
  <dcterms:modified xsi:type="dcterms:W3CDTF">2020-07-21T06:46:00Z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