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F0A5B93" w14:textId="10676271" w:rsidR="00273B03" w:rsidRDefault="00702E37">
      <w:pPr>
        <w:suppressAutoHyphens/>
        <w:spacing w:line="360" w:lineRule="auto"/>
      </w:pPr>
      <w:r>
        <w:rPr>
          <w:b/>
          <w:sz w:val="24"/>
          <w:szCs w:val="40"/>
        </w:rPr>
        <w:t>SECUTEST-Prüfgeräte mit aktualisierten Prüfsequenzen</w:t>
      </w:r>
    </w:p>
    <w:p w14:paraId="4B68224B" w14:textId="77777777" w:rsidR="00273B03" w:rsidRDefault="00273B03">
      <w:pPr>
        <w:suppressAutoHyphens/>
        <w:spacing w:line="360" w:lineRule="auto"/>
        <w:rPr>
          <w:b/>
          <w:sz w:val="24"/>
        </w:rPr>
      </w:pPr>
    </w:p>
    <w:p w14:paraId="2F8DE4E7" w14:textId="6E1550C6" w:rsidR="00CA603C" w:rsidRDefault="001D42D2">
      <w:pPr>
        <w:suppressAutoHyphens/>
        <w:spacing w:line="360" w:lineRule="auto"/>
        <w:ind w:right="-2"/>
        <w:jc w:val="both"/>
      </w:pPr>
      <w:r>
        <w:t>Die aktuelle Generation der Geräteserie SECUTEST ST von Gossen Metrawatt ist ab Werk auf die geänderten Normanforderungen der</w:t>
      </w:r>
      <w:r w:rsidR="00EE0B58">
        <w:t xml:space="preserve"> neu</w:t>
      </w:r>
      <w:r>
        <w:t xml:space="preserve"> in Kraft getretenen DIN EN 50678 und DIN EN 50699 eingestellt. Beide Normen ersetzen die noch übergangsweise bis 2022/23 gültige DIN</w:t>
      </w:r>
      <w:r w:rsidR="00725569">
        <w:t> </w:t>
      </w:r>
      <w:r>
        <w:t>VDE</w:t>
      </w:r>
      <w:r w:rsidR="00725569">
        <w:t> </w:t>
      </w:r>
      <w:r>
        <w:t xml:space="preserve">0701-0702 durch gesonderte Regelungen </w:t>
      </w:r>
      <w:r w:rsidR="00972E18">
        <w:t>zur</w:t>
      </w:r>
      <w:r>
        <w:t xml:space="preserve"> Überprüfung der Schutzmaßnahmen für die elektrische Sicherheit nach Reparatur bzw. </w:t>
      </w:r>
      <w:r w:rsidR="00624D31">
        <w:t>bei</w:t>
      </w:r>
      <w:r>
        <w:t xml:space="preserve"> Wiederholungsprüfungen. </w:t>
      </w:r>
      <w:r w:rsidR="00CA603C">
        <w:t xml:space="preserve">Mit der </w:t>
      </w:r>
      <w:r>
        <w:t xml:space="preserve">Trennung </w:t>
      </w:r>
      <w:r w:rsidR="00624D31">
        <w:t>dieser</w:t>
      </w:r>
      <w:r>
        <w:t xml:space="preserve"> beiden Anwendungsbereiche </w:t>
      </w:r>
      <w:r w:rsidR="00CA603C">
        <w:t xml:space="preserve">sind </w:t>
      </w:r>
      <w:r w:rsidR="006B504A">
        <w:t>Änderungen</w:t>
      </w:r>
      <w:r w:rsidR="00CA603C">
        <w:t xml:space="preserve"> bei einzelnen Prüfaufgaben verbunden. So gilt für </w:t>
      </w:r>
      <w:r w:rsidR="00624D31">
        <w:t>Leitungen über 1,5</w:t>
      </w:r>
      <w:r w:rsidR="00972E18">
        <w:t> </w:t>
      </w:r>
      <w:r w:rsidR="00624D31">
        <w:t>mm</w:t>
      </w:r>
      <w:r w:rsidR="00CA603C">
        <w:t>²</w:t>
      </w:r>
      <w:r w:rsidR="00624D31">
        <w:t xml:space="preserve"> eine neue Berechnungsgrundlage</w:t>
      </w:r>
      <w:r w:rsidR="00CA603C">
        <w:t xml:space="preserve"> und ist </w:t>
      </w:r>
      <w:r w:rsidR="00725569">
        <w:t>die</w:t>
      </w:r>
      <w:r w:rsidR="00CA603C">
        <w:t xml:space="preserve"> </w:t>
      </w:r>
      <w:r w:rsidR="00624D31">
        <w:t>Ableitstrommessung an isolierten Eingängen nun normativ festgelegt.</w:t>
      </w:r>
      <w:r w:rsidR="00CA603C">
        <w:t xml:space="preserve"> </w:t>
      </w:r>
      <w:r w:rsidR="0048641C">
        <w:t xml:space="preserve">Gossen Metrawatt </w:t>
      </w:r>
      <w:r w:rsidR="00EB2FAE">
        <w:t xml:space="preserve">hat </w:t>
      </w:r>
      <w:r w:rsidR="0048641C">
        <w:t xml:space="preserve">das Funktionsspektrum seiner Geräteserie SECUTEST ST entsprechend aktualisiert und </w:t>
      </w:r>
      <w:r w:rsidR="00972E18">
        <w:t xml:space="preserve">den Messumfang um </w:t>
      </w:r>
      <w:r w:rsidR="0048641C">
        <w:t xml:space="preserve">neue normkonforme Prüfsequenzen </w:t>
      </w:r>
      <w:r w:rsidR="00972E18">
        <w:t>erweitert</w:t>
      </w:r>
      <w:r w:rsidR="0048641C">
        <w:t xml:space="preserve">. </w:t>
      </w:r>
      <w:r w:rsidR="008875B0">
        <w:t>Für</w:t>
      </w:r>
      <w:r w:rsidR="0048641C">
        <w:t xml:space="preserve"> frühere Geräteversionen </w:t>
      </w:r>
      <w:r w:rsidR="00972E18">
        <w:t>bietet</w:t>
      </w:r>
      <w:r w:rsidR="0048641C">
        <w:t xml:space="preserve"> der Hersteller diese Funktionsupdates zum Download </w:t>
      </w:r>
      <w:r w:rsidR="00972E18">
        <w:t>an</w:t>
      </w:r>
      <w:r w:rsidR="0048641C">
        <w:t xml:space="preserve">. </w:t>
      </w:r>
      <w:r w:rsidR="00972E18">
        <w:t>Die SECUTEST-Reihe ist für die Prüfung der</w:t>
      </w:r>
      <w:r w:rsidR="00CA603C" w:rsidRPr="00CA603C">
        <w:t xml:space="preserve"> Wirksamkeit der Schutzmaßnahmen bei </w:t>
      </w:r>
      <w:r w:rsidR="00725569">
        <w:t xml:space="preserve">ortsveränderlichen </w:t>
      </w:r>
      <w:r w:rsidR="00CA603C" w:rsidRPr="00CA603C">
        <w:t xml:space="preserve">elektrischen Betriebsmitteln, medizinischen Geräten und Schweißgeräten </w:t>
      </w:r>
      <w:r w:rsidR="00972E18">
        <w:t xml:space="preserve">optimiert. </w:t>
      </w:r>
      <w:r w:rsidR="00725569">
        <w:t>Die kompakten Messgeräte führen n</w:t>
      </w:r>
      <w:r w:rsidR="00972E18">
        <w:t xml:space="preserve">eben der </w:t>
      </w:r>
      <w:r w:rsidR="00CA603C" w:rsidRPr="00CA603C">
        <w:t>Prüfung des Schutzleiterwiderstands mit 200</w:t>
      </w:r>
      <w:r w:rsidR="006B504A">
        <w:t> </w:t>
      </w:r>
      <w:r w:rsidR="00CA603C" w:rsidRPr="00CA603C">
        <w:t>mA und 10</w:t>
      </w:r>
      <w:r w:rsidR="006B504A">
        <w:t> </w:t>
      </w:r>
      <w:r w:rsidR="00CA603C" w:rsidRPr="00CA603C">
        <w:t xml:space="preserve">A, </w:t>
      </w:r>
      <w:r w:rsidR="00972E18">
        <w:t xml:space="preserve">der </w:t>
      </w:r>
      <w:r w:rsidR="00725569">
        <w:t>M</w:t>
      </w:r>
      <w:r w:rsidR="00CA603C" w:rsidRPr="00CA603C">
        <w:t xml:space="preserve">essung </w:t>
      </w:r>
      <w:r w:rsidR="00725569">
        <w:t xml:space="preserve">von Isolationswiderstand und </w:t>
      </w:r>
      <w:r w:rsidR="00CA603C" w:rsidRPr="00CA603C">
        <w:t>unterschiedliche</w:t>
      </w:r>
      <w:r w:rsidR="00725569">
        <w:t>n</w:t>
      </w:r>
      <w:r w:rsidR="00CA603C" w:rsidRPr="00CA603C">
        <w:t xml:space="preserve"> Ableitströme</w:t>
      </w:r>
      <w:r w:rsidR="00725569">
        <w:t>n</w:t>
      </w:r>
      <w:r w:rsidR="00972E18">
        <w:t xml:space="preserve"> </w:t>
      </w:r>
      <w:r w:rsidR="00725569">
        <w:t xml:space="preserve">auch die </w:t>
      </w:r>
      <w:r w:rsidR="00CA603C" w:rsidRPr="00CA603C">
        <w:t xml:space="preserve">Überprüfung von Schutzkleinspannungen SELV und PELV </w:t>
      </w:r>
      <w:r w:rsidR="00725569">
        <w:t>durch</w:t>
      </w:r>
      <w:r w:rsidR="00CA603C" w:rsidRPr="00CA603C">
        <w:t xml:space="preserve">. </w:t>
      </w:r>
      <w:r w:rsidR="00702E37">
        <w:t xml:space="preserve">Zum weiteren Messumfang zählen die Bestimmung der </w:t>
      </w:r>
      <w:r w:rsidR="00CA603C" w:rsidRPr="00CA603C">
        <w:t xml:space="preserve">Auslösezeit von Fehlerstrom-Schutzschaltern der Typen PRCD, SPE-PRCD, PRCD-S und PRCD-K, ein Funktionstest mit Ermittlung von U, I, P, S, LF, f sowie ein Leitungstest auf Durchgang, Kurzschluss und Polarität. </w:t>
      </w:r>
      <w:r w:rsidR="00702E37">
        <w:t xml:space="preserve">Außerdem </w:t>
      </w:r>
      <w:r w:rsidR="00CA603C" w:rsidRPr="00CA603C">
        <w:t>verfügt der Sicherheitstester über einen Temperatureingang für einen Pt100/Pt1000</w:t>
      </w:r>
      <w:r w:rsidR="001F3FA1">
        <w:t>-</w:t>
      </w:r>
      <w:r w:rsidR="00CA603C" w:rsidRPr="00CA603C">
        <w:t>Sensor</w:t>
      </w:r>
      <w:r w:rsidR="001F3FA1">
        <w:t xml:space="preserve"> sowie</w:t>
      </w:r>
      <w:r w:rsidR="00CA603C" w:rsidRPr="00CA603C">
        <w:t xml:space="preserve"> einen USB-Port zum schnellen Datenexport, zur Remotesteuerung oder zum Anschluss eines Protokoll- oder Barcodedruckers. Zwei weitere USB-Ports dienen dem Anschluss von Dateneingabegeräten </w:t>
      </w:r>
      <w:r w:rsidR="00725569">
        <w:t>wie B</w:t>
      </w:r>
      <w:r w:rsidR="00CA603C" w:rsidRPr="00CA603C">
        <w:t>arcodeleser, RFID-Leser</w:t>
      </w:r>
      <w:r w:rsidR="00725569">
        <w:t xml:space="preserve"> und</w:t>
      </w:r>
      <w:r w:rsidR="00CA603C" w:rsidRPr="00CA603C">
        <w:t xml:space="preserve"> Tastatur, eines USB-Speichers, dem Datenexport im XML-Format oder zum Speichern von Prüfprotokollen im HTML-Format. Für die kabellose Kommunikation ist </w:t>
      </w:r>
      <w:r w:rsidR="00CC75B3">
        <w:t>das Testgerät</w:t>
      </w:r>
      <w:r w:rsidR="00725569">
        <w:t xml:space="preserve"> </w:t>
      </w:r>
      <w:r w:rsidR="00CA603C" w:rsidRPr="00CA603C">
        <w:t>auch mit optionaler Bluetooth-Schnittstelle erhältlich.</w:t>
      </w:r>
      <w:r w:rsidR="00D55B36">
        <w:t xml:space="preserve"> Zum Einsatz des </w:t>
      </w:r>
      <w:r w:rsidR="004F7B6E">
        <w:t>Sicherheitstesters</w:t>
      </w:r>
      <w:r w:rsidR="00D55B36">
        <w:t xml:space="preserve"> im Verbund mit der Prüfdatenmanagement-Software IZYTRON.IQ bietet Gossen Metrawatt bis Anfang Juni 2022 in regelmäßigen Abständen virtuelle Produktunterweisungen mit </w:t>
      </w:r>
      <w:r w:rsidR="001F3FA1">
        <w:t>nützlichen</w:t>
      </w:r>
      <w:r w:rsidR="00D55B36">
        <w:t xml:space="preserve"> Praxistipps für die täglichen Prüfaufgaben an.</w:t>
      </w:r>
    </w:p>
    <w:p w14:paraId="3997B11E" w14:textId="77777777" w:rsidR="00CA603C" w:rsidRDefault="00CA603C">
      <w:pPr>
        <w:suppressAutoHyphens/>
        <w:spacing w:line="360" w:lineRule="auto"/>
        <w:ind w:right="-2"/>
        <w:jc w:val="both"/>
      </w:pPr>
    </w:p>
    <w:p w14:paraId="11CF4EE7" w14:textId="5912A3D5" w:rsidR="00EE7AD3" w:rsidRDefault="00EE7AD3">
      <w:pPr>
        <w:suppressAutoHyphens/>
        <w:spacing w:line="360" w:lineRule="auto"/>
        <w:ind w:right="-2"/>
        <w:jc w:val="both"/>
      </w:pPr>
    </w:p>
    <w:p w14:paraId="5627D785" w14:textId="77777777" w:rsidR="00EE7AD3" w:rsidRDefault="00EE7AD3" w:rsidP="00EE7AD3">
      <w:pPr>
        <w:suppressAutoHyphens/>
        <w:spacing w:line="360" w:lineRule="auto"/>
        <w:ind w:right="-2"/>
        <w:jc w:val="both"/>
      </w:pPr>
    </w:p>
    <w:p w14:paraId="572E0700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897A9F">
        <w:tc>
          <w:tcPr>
            <w:tcW w:w="7226" w:type="dxa"/>
          </w:tcPr>
          <w:p w14:paraId="006A661D" w14:textId="015CFA25" w:rsidR="00273B03" w:rsidRDefault="00273B03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14:paraId="47BD7093" w14:textId="77777777" w:rsidR="00CC75B3" w:rsidRDefault="00CC75B3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14:paraId="08D35DE6" w14:textId="77777777" w:rsidR="00273B03" w:rsidRDefault="00CC75B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D27589" wp14:editId="30D8B469">
                  <wp:extent cx="3048000" cy="230949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01DFFC01" w:rsidR="00CC75B3" w:rsidRDefault="00CC75B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:rsidRPr="00702E37" w14:paraId="4E5F441D" w14:textId="77777777" w:rsidTr="00897A9F">
        <w:tc>
          <w:tcPr>
            <w:tcW w:w="7226" w:type="dxa"/>
          </w:tcPr>
          <w:p w14:paraId="31922341" w14:textId="6C74A43B" w:rsidR="00273B03" w:rsidRPr="00702E37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02E37">
              <w:rPr>
                <w:b/>
                <w:bCs/>
                <w:sz w:val="18"/>
                <w:szCs w:val="18"/>
              </w:rPr>
              <w:t xml:space="preserve">Bild: </w:t>
            </w:r>
            <w:r w:rsidR="00702E37" w:rsidRPr="00702E37">
              <w:rPr>
                <w:sz w:val="18"/>
                <w:szCs w:val="18"/>
              </w:rPr>
              <w:t xml:space="preserve">Der SECUTEST ST: Mit neuen Prüfsequenzen auf die aktuellen Normänderungen </w:t>
            </w:r>
            <w:r w:rsidR="006B504A">
              <w:rPr>
                <w:sz w:val="18"/>
                <w:szCs w:val="18"/>
              </w:rPr>
              <w:t>durch die</w:t>
            </w:r>
            <w:r w:rsidR="00702E37" w:rsidRPr="00702E37">
              <w:rPr>
                <w:sz w:val="18"/>
                <w:szCs w:val="18"/>
              </w:rPr>
              <w:t xml:space="preserve"> DIN EN 50678 und DIN EN 50699 eingestellt </w:t>
            </w:r>
          </w:p>
        </w:tc>
      </w:tr>
    </w:tbl>
    <w:p w14:paraId="28ECB54F" w14:textId="77777777" w:rsidR="00273B03" w:rsidRPr="00702E37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8843189" w14:textId="2AE7F8CF" w:rsidR="00273B03" w:rsidRPr="00CC75B3" w:rsidRDefault="00CC75B3">
            <w:pPr>
              <w:pStyle w:val="Textkrper"/>
              <w:suppressAutoHyphens/>
              <w:snapToGrid w:val="0"/>
              <w:rPr>
                <w:sz w:val="18"/>
                <w:lang w:val="en-US"/>
              </w:rPr>
            </w:pPr>
            <w:r w:rsidRPr="00CC75B3">
              <w:rPr>
                <w:sz w:val="18"/>
                <w:lang w:val="en-US"/>
              </w:rPr>
              <w:t>secutestpro-iq_2000px.jpg</w:t>
            </w: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2C1F0E78" w:rsidR="00273B03" w:rsidRDefault="00784BBB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="004F7B6E">
              <w:rPr>
                <w:sz w:val="18"/>
              </w:rPr>
              <w:t>404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2F3D5EFA" w:rsidR="00273B03" w:rsidRDefault="001A1445">
            <w:pPr>
              <w:suppressAutoHyphens/>
              <w:snapToGrid w:val="0"/>
              <w:spacing w:before="120"/>
              <w:rPr>
                <w:sz w:val="18"/>
              </w:rPr>
            </w:pPr>
            <w:r w:rsidRPr="001A1445">
              <w:rPr>
                <w:sz w:val="18"/>
              </w:rPr>
              <w:t>20220</w:t>
            </w:r>
            <w:r>
              <w:rPr>
                <w:sz w:val="18"/>
              </w:rPr>
              <w:t>2</w:t>
            </w:r>
            <w:r w:rsidRPr="001A1445">
              <w:rPr>
                <w:sz w:val="18"/>
              </w:rPr>
              <w:t>0</w:t>
            </w:r>
            <w:r>
              <w:rPr>
                <w:sz w:val="18"/>
              </w:rPr>
              <w:t>05</w:t>
            </w:r>
            <w:r w:rsidR="00784BBB">
              <w:rPr>
                <w:sz w:val="18"/>
              </w:rPr>
              <w:t>_pm_secutest-normenneu.docx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036B3743" w:rsidR="00273B03" w:rsidRPr="0071680C" w:rsidRDefault="00970DD9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57C1FA83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47B46209" w14:textId="77777777" w:rsidR="00897A9F" w:rsidRDefault="00897A9F" w:rsidP="00897A9F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6E21C311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20454E2D" w14:textId="77777777" w:rsidR="00897A9F" w:rsidRPr="002C1E5B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</w:p>
    <w:p w14:paraId="1DD4D683" w14:textId="77777777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Energiemanagementsysteme. Abgerundet wird das Portfolio durch ein wachsendes Angebot digitaler Dienste und Cloud-Services. Zudem unterstützt Gossen Metrawatt seine Kunden mit einem breit gefächerten Schulungsprogramm und vielfältigen After-Sales-Dienstleistungen. </w:t>
      </w:r>
    </w:p>
    <w:p w14:paraId="093621FB" w14:textId="61F8714D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ist Teil der GMC Instruments Gruppe, zu der mit Camille Bauer Metrawatt, Dranetz, Prosys, Seaward und Rigel sowie Kurth Electronic weitere spezialisierte Hersteller aus der Mess- und Prüftechnik zählen. Die Marken Camille Bauer und </w:t>
      </w:r>
      <w:r w:rsidR="0028393D">
        <w:rPr>
          <w:sz w:val="16"/>
          <w:szCs w:val="16"/>
        </w:rPr>
        <w:t>R</w:t>
      </w:r>
      <w:r w:rsidRPr="002C1E5B">
        <w:rPr>
          <w:sz w:val="16"/>
          <w:szCs w:val="16"/>
        </w:rPr>
        <w:t>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897A9F" w14:paraId="70A5C9C9" w14:textId="77777777" w:rsidTr="00E04BE3">
        <w:tc>
          <w:tcPr>
            <w:tcW w:w="4465" w:type="dxa"/>
          </w:tcPr>
          <w:p w14:paraId="7CC24B1C" w14:textId="77777777" w:rsidR="00897A9F" w:rsidRDefault="00897A9F" w:rsidP="00E04BE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44C86277" w14:textId="77777777" w:rsidR="00897A9F" w:rsidRDefault="00897A9F" w:rsidP="00E04BE3">
            <w:pPr>
              <w:pStyle w:val="berschrift4"/>
              <w:suppressAutoHyphens/>
            </w:pPr>
          </w:p>
          <w:p w14:paraId="56763B48" w14:textId="77777777" w:rsidR="00897A9F" w:rsidRDefault="00897A9F" w:rsidP="00E04BE3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10CD2103" w14:textId="77777777" w:rsidR="00897A9F" w:rsidRDefault="00897A9F" w:rsidP="00E04BE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  <w:t>Leitung Marketing Kommunikation</w:t>
            </w:r>
          </w:p>
          <w:p w14:paraId="28781A20" w14:textId="77777777" w:rsidR="00897A9F" w:rsidRDefault="00897A9F" w:rsidP="00E04BE3">
            <w:pPr>
              <w:suppressAutoHyphens/>
              <w:jc w:val="both"/>
            </w:pPr>
            <w:r>
              <w:t>Südwestpark 15</w:t>
            </w:r>
          </w:p>
          <w:p w14:paraId="228F13A5" w14:textId="77777777" w:rsidR="00897A9F" w:rsidRDefault="00897A9F" w:rsidP="00E04BE3">
            <w:pPr>
              <w:suppressAutoHyphens/>
              <w:jc w:val="both"/>
            </w:pPr>
            <w:r>
              <w:t>90449 Nürnberg</w:t>
            </w:r>
          </w:p>
          <w:p w14:paraId="65F1687F" w14:textId="77777777" w:rsidR="00897A9F" w:rsidRDefault="00897A9F" w:rsidP="00E04BE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7942BBE1" w14:textId="77777777" w:rsidR="00897A9F" w:rsidRDefault="00897A9F" w:rsidP="00E04BE3">
            <w:pPr>
              <w:suppressAutoHyphens/>
              <w:jc w:val="both"/>
            </w:pPr>
            <w:r>
              <w:t xml:space="preserve">Fax: </w:t>
            </w:r>
            <w:r w:rsidRPr="00204413">
              <w:t>0911</w:t>
            </w:r>
            <w:r>
              <w:t xml:space="preserve"> </w:t>
            </w:r>
            <w:r w:rsidRPr="00204413">
              <w:t>/</w:t>
            </w:r>
            <w:r>
              <w:t xml:space="preserve"> </w:t>
            </w:r>
            <w:r w:rsidRPr="00204413">
              <w:t>8602</w:t>
            </w:r>
            <w:r>
              <w:t xml:space="preserve"> </w:t>
            </w:r>
            <w:r w:rsidRPr="00204413">
              <w:t>-</w:t>
            </w:r>
            <w:r>
              <w:t xml:space="preserve"> </w:t>
            </w:r>
            <w:r w:rsidRPr="00204413">
              <w:t>80572</w:t>
            </w:r>
          </w:p>
          <w:p w14:paraId="102EAE96" w14:textId="77777777" w:rsidR="00897A9F" w:rsidRPr="0028393D" w:rsidRDefault="00897A9F" w:rsidP="00E04BE3">
            <w:pPr>
              <w:suppressAutoHyphens/>
              <w:jc w:val="both"/>
              <w:rPr>
                <w:lang w:val="pt-PT"/>
              </w:rPr>
            </w:pPr>
            <w:r w:rsidRPr="0028393D">
              <w:rPr>
                <w:lang w:val="pt-PT"/>
              </w:rPr>
              <w:t>E-Mail: christian.widder@gossenmetrawatt.com</w:t>
            </w:r>
          </w:p>
          <w:p w14:paraId="69EC701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Pr="00CE3840">
              <w:rPr>
                <w:sz w:val="20"/>
              </w:rPr>
              <w:t>www.</w:t>
            </w:r>
            <w:r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2E959DD1" w14:textId="77777777" w:rsidR="00897A9F" w:rsidRDefault="00897A9F" w:rsidP="00E04BE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CD424E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197B04B" w14:textId="77777777" w:rsidR="00897A9F" w:rsidRDefault="00897A9F" w:rsidP="00E04BE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2352FDF2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41E4F87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81BE47D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3119564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34104EA4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233B068D" w14:textId="77777777" w:rsidR="00897A9F" w:rsidRDefault="00897A9F" w:rsidP="00897A9F">
      <w:pPr>
        <w:suppressAutoHyphens/>
      </w:pPr>
    </w:p>
    <w:p w14:paraId="324F70D2" w14:textId="77777777" w:rsidR="00273B03" w:rsidRDefault="00273B03">
      <w:pPr>
        <w:suppressAutoHyphens/>
      </w:pPr>
    </w:p>
    <w:sectPr w:rsidR="0027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E438" w14:textId="77777777" w:rsidR="00DE6889" w:rsidRDefault="00DE6889">
      <w:r>
        <w:separator/>
      </w:r>
    </w:p>
  </w:endnote>
  <w:endnote w:type="continuationSeparator" w:id="0">
    <w:p w14:paraId="6686D19C" w14:textId="77777777" w:rsidR="00DE6889" w:rsidRDefault="00D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F4A4" w14:textId="77777777" w:rsidR="00DE6889" w:rsidRDefault="00DE6889">
      <w:r>
        <w:separator/>
      </w:r>
    </w:p>
  </w:footnote>
  <w:footnote w:type="continuationSeparator" w:id="0">
    <w:p w14:paraId="216D2178" w14:textId="77777777" w:rsidR="00DE6889" w:rsidRDefault="00DE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0AA" w14:textId="374ACD7E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3B599E">
      <w:rPr>
        <w:rStyle w:val="Seitenzahl"/>
        <w:noProof/>
        <w:sz w:val="18"/>
      </w:rPr>
      <w:t>2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9A39FC">
      <w:rPr>
        <w:rStyle w:val="Seitenzahl"/>
        <w:sz w:val="18"/>
      </w:rPr>
      <w:t>SECUTEST-</w:t>
    </w:r>
    <w:r w:rsidR="00660CAE">
      <w:rPr>
        <w:rStyle w:val="Seitenzahl"/>
        <w:sz w:val="18"/>
      </w:rPr>
      <w:t>Sicherheitstester mit neuen Prüfsequenzen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0C"/>
    <w:rsid w:val="000A32D4"/>
    <w:rsid w:val="00164728"/>
    <w:rsid w:val="001A1445"/>
    <w:rsid w:val="001D42D2"/>
    <w:rsid w:val="001F3FA1"/>
    <w:rsid w:val="00204413"/>
    <w:rsid w:val="00273B03"/>
    <w:rsid w:val="0028393D"/>
    <w:rsid w:val="002D74C0"/>
    <w:rsid w:val="003B599E"/>
    <w:rsid w:val="003B6937"/>
    <w:rsid w:val="0048641C"/>
    <w:rsid w:val="004F7B6E"/>
    <w:rsid w:val="005F7959"/>
    <w:rsid w:val="00624D31"/>
    <w:rsid w:val="00660CAE"/>
    <w:rsid w:val="006B504A"/>
    <w:rsid w:val="00702E37"/>
    <w:rsid w:val="0071680C"/>
    <w:rsid w:val="00725569"/>
    <w:rsid w:val="00740E5A"/>
    <w:rsid w:val="00784BBB"/>
    <w:rsid w:val="008875B0"/>
    <w:rsid w:val="00897A9F"/>
    <w:rsid w:val="008E2B56"/>
    <w:rsid w:val="00970DD9"/>
    <w:rsid w:val="00972E18"/>
    <w:rsid w:val="009A39FC"/>
    <w:rsid w:val="00B5104A"/>
    <w:rsid w:val="00BA78D6"/>
    <w:rsid w:val="00CA603C"/>
    <w:rsid w:val="00CC75B3"/>
    <w:rsid w:val="00CE3840"/>
    <w:rsid w:val="00D55B36"/>
    <w:rsid w:val="00DE6889"/>
    <w:rsid w:val="00EB2FAE"/>
    <w:rsid w:val="00EE0B58"/>
    <w:rsid w:val="00EE7AD3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D31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97A9F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897A9F"/>
    <w:rPr>
      <w:rFonts w:ascii="Arial" w:hAnsi="Arial" w:cs="Arial"/>
      <w:sz w:val="24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897A9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a.schlee</cp:lastModifiedBy>
  <cp:revision>12</cp:revision>
  <cp:lastPrinted>2016-08-24T11:13:00Z</cp:lastPrinted>
  <dcterms:created xsi:type="dcterms:W3CDTF">2021-08-19T10:27:00Z</dcterms:created>
  <dcterms:modified xsi:type="dcterms:W3CDTF">2022-02-16T12:51:00Z</dcterms:modified>
</cp:coreProperties>
</file>