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3FB3E2AE" w14:textId="0009F714" w:rsidR="002A6DD5" w:rsidRPr="002038BC" w:rsidRDefault="00F21CD3">
      <w:pPr>
        <w:spacing w:line="360" w:lineRule="auto"/>
        <w:ind w:right="-2"/>
        <w:rPr>
          <w:b/>
          <w:sz w:val="24"/>
          <w:szCs w:val="24"/>
        </w:rPr>
      </w:pPr>
      <w:bookmarkStart w:id="0" w:name="_Hlk101783154"/>
      <w:r w:rsidRPr="002038BC">
        <w:rPr>
          <w:b/>
          <w:sz w:val="24"/>
          <w:szCs w:val="24"/>
        </w:rPr>
        <w:t>Radlager</w:t>
      </w:r>
      <w:r w:rsidR="00AE698F" w:rsidRPr="002038BC">
        <w:rPr>
          <w:b/>
          <w:sz w:val="24"/>
          <w:szCs w:val="24"/>
        </w:rPr>
        <w:t xml:space="preserve"> und </w:t>
      </w:r>
      <w:r w:rsidR="0050748B" w:rsidRPr="002038BC">
        <w:rPr>
          <w:b/>
          <w:sz w:val="24"/>
          <w:szCs w:val="24"/>
        </w:rPr>
        <w:t>Rad</w:t>
      </w:r>
      <w:r w:rsidR="00AE698F" w:rsidRPr="002038BC">
        <w:rPr>
          <w:b/>
          <w:sz w:val="24"/>
          <w:szCs w:val="24"/>
        </w:rPr>
        <w:t>lagersätze für reibungsarmes Rollverhalten</w:t>
      </w:r>
    </w:p>
    <w:bookmarkEnd w:id="0"/>
    <w:p w14:paraId="7401149B" w14:textId="77777777" w:rsidR="00E02678" w:rsidRDefault="00E02678" w:rsidP="00A025B2">
      <w:pPr>
        <w:spacing w:line="360" w:lineRule="auto"/>
        <w:jc w:val="both"/>
      </w:pPr>
    </w:p>
    <w:p w14:paraId="1EA2E411" w14:textId="309829D3" w:rsidR="009532FA" w:rsidRDefault="00E51A0F" w:rsidP="009532FA">
      <w:pPr>
        <w:spacing w:line="360" w:lineRule="auto"/>
        <w:jc w:val="both"/>
      </w:pPr>
      <w:r>
        <w:t xml:space="preserve">Winnenden – </w:t>
      </w:r>
      <w:bookmarkStart w:id="1" w:name="_Hlk77943515"/>
      <w:r w:rsidR="009532FA">
        <w:t xml:space="preserve">Zu den Angebotsschwerpunkten von HECHT KUGELLAGER zählt ein breites Sortiment an Lagertechnik für den Einsatz in der Automobilindustrie, in Nutzfahrzeugen und mobilen Maschinen. Mit robusten Radlagern und kompletten Radlagersätzen bietet der schwäbische Wälzlagerspezialist langlebige, wirtschaftliche Lösungen in geprüfter Premiumqualität für ein stabiles Fahrverhalten. Die korrosions- und temperaturbeständigen Radlager verfügen über eine hohe Lagersteifigkeit, um </w:t>
      </w:r>
      <w:r w:rsidR="00E538A7">
        <w:t xml:space="preserve">die </w:t>
      </w:r>
      <w:r w:rsidR="009532FA">
        <w:t xml:space="preserve">durch Beschleunigung, Bremsvorgänge, Kurvenfahrten und Straßenschäden auf Achsen und Wellen wirkenden Radial- und Axialkräfte zuverlässig zu kompensieren und eine präzise Radführung zu gewährleisten. Für die gleichmäßige Lastverteilung und zur Vermeidung von Reibungsverlusten werden die im </w:t>
      </w:r>
      <w:r w:rsidR="009532FA" w:rsidRPr="0058226F">
        <w:t xml:space="preserve">Innen- und Außenring </w:t>
      </w:r>
      <w:r w:rsidR="009532FA">
        <w:t xml:space="preserve">verbauten </w:t>
      </w:r>
      <w:r w:rsidR="009532FA" w:rsidRPr="0058226F">
        <w:t xml:space="preserve">Wälzkörper </w:t>
      </w:r>
      <w:r w:rsidR="009532FA">
        <w:t xml:space="preserve">von einem Käfig in </w:t>
      </w:r>
      <w:r w:rsidR="009532FA" w:rsidRPr="0058226F">
        <w:t>definierte</w:t>
      </w:r>
      <w:r w:rsidR="009532FA">
        <w:t xml:space="preserve">r Position gehalten. </w:t>
      </w:r>
      <w:r w:rsidR="00B718B8">
        <w:t>Eine</w:t>
      </w:r>
      <w:r w:rsidR="009532FA">
        <w:t xml:space="preserve"> wartungsfreie Lebensdauer-Schmierung sorgt für ein reibungs- und geräuscharmes Rollverhalten und beugt </w:t>
      </w:r>
      <w:r w:rsidR="00BD638E">
        <w:t>dem</w:t>
      </w:r>
      <w:r w:rsidR="009532FA">
        <w:t xml:space="preserve"> Heißlaufen des Radlagers vor. Spezielle Dichtlippen verhindern das Austreten des Schmierstoffs und schützen das Lagerinnere vor Verschmutzungen und eindringender Feuchtigkeit. Die </w:t>
      </w:r>
      <w:r w:rsidR="00EC347C">
        <w:t xml:space="preserve">unterschiedlichen </w:t>
      </w:r>
      <w:r w:rsidR="009532FA">
        <w:t>Radlager</w:t>
      </w:r>
      <w:r w:rsidR="00EC347C">
        <w:t>-Typen</w:t>
      </w:r>
      <w:r w:rsidR="009532FA">
        <w:t xml:space="preserve"> sind jeweils auf Modellreihen einzelner Fahrzeughersteller abgestimmt und für den Einsatz an Vorder- oder Hinterachsen bzw. angetriebenen oder nicht angetriebenen Achsen spezifiziert.</w:t>
      </w:r>
    </w:p>
    <w:bookmarkEnd w:id="1"/>
    <w:p w14:paraId="1B5F2C9E" w14:textId="617BCFC3" w:rsidR="0041579F" w:rsidRDefault="0041579F" w:rsidP="00A025B2">
      <w:pPr>
        <w:spacing w:line="360" w:lineRule="auto"/>
        <w:jc w:val="both"/>
      </w:pPr>
    </w:p>
    <w:tbl>
      <w:tblPr>
        <w:tblStyle w:val="TabellemithellemGitternetz"/>
        <w:tblW w:w="0" w:type="auto"/>
        <w:tblLayout w:type="fixed"/>
        <w:tblLook w:val="04A0" w:firstRow="1" w:lastRow="0" w:firstColumn="1" w:lastColumn="0" w:noHBand="0" w:noVBand="1"/>
      </w:tblPr>
      <w:tblGrid>
        <w:gridCol w:w="7226"/>
      </w:tblGrid>
      <w:tr w:rsidR="00A93EEF" w14:paraId="63F452C7" w14:textId="77777777" w:rsidTr="00A93EEF">
        <w:tc>
          <w:tcPr>
            <w:tcW w:w="7226" w:type="dxa"/>
            <w:hideMark/>
          </w:tcPr>
          <w:p w14:paraId="24263D7A" w14:textId="0E7F1755" w:rsidR="00A93EEF" w:rsidRDefault="00044CD4">
            <w:pPr>
              <w:spacing w:line="360" w:lineRule="auto"/>
              <w:jc w:val="center"/>
            </w:pPr>
            <w:r>
              <w:rPr>
                <w:noProof/>
              </w:rPr>
              <w:drawing>
                <wp:inline distT="0" distB="0" distL="0" distR="0" wp14:anchorId="432F8BC5" wp14:editId="32F8D138">
                  <wp:extent cx="3048000" cy="2199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199005"/>
                          </a:xfrm>
                          <a:prstGeom prst="rect">
                            <a:avLst/>
                          </a:prstGeom>
                          <a:noFill/>
                          <a:ln>
                            <a:noFill/>
                          </a:ln>
                        </pic:spPr>
                      </pic:pic>
                    </a:graphicData>
                  </a:graphic>
                </wp:inline>
              </w:drawing>
            </w:r>
          </w:p>
          <w:p w14:paraId="3BB9DA31" w14:textId="68807C1C" w:rsidR="00E02678" w:rsidRDefault="00E02678">
            <w:pPr>
              <w:spacing w:line="360" w:lineRule="auto"/>
              <w:jc w:val="center"/>
            </w:pPr>
          </w:p>
        </w:tc>
      </w:tr>
      <w:tr w:rsidR="00A93EEF" w:rsidRPr="00A93EEF" w14:paraId="5DBFCB3D" w14:textId="77777777" w:rsidTr="00A93EEF">
        <w:tc>
          <w:tcPr>
            <w:tcW w:w="7226" w:type="dxa"/>
            <w:hideMark/>
          </w:tcPr>
          <w:p w14:paraId="2F18995A" w14:textId="2E56E30B" w:rsidR="00A93EEF" w:rsidRDefault="00A93EEF">
            <w:pPr>
              <w:jc w:val="center"/>
            </w:pPr>
            <w:r>
              <w:rPr>
                <w:b/>
                <w:sz w:val="18"/>
              </w:rPr>
              <w:t>Bild:</w:t>
            </w:r>
            <w:r>
              <w:rPr>
                <w:sz w:val="18"/>
                <w:szCs w:val="18"/>
              </w:rPr>
              <w:t xml:space="preserve"> </w:t>
            </w:r>
            <w:r w:rsidR="00AE698F">
              <w:rPr>
                <w:sz w:val="18"/>
                <w:szCs w:val="18"/>
              </w:rPr>
              <w:t>Robuste</w:t>
            </w:r>
            <w:r w:rsidR="00F21CD3">
              <w:rPr>
                <w:sz w:val="18"/>
                <w:szCs w:val="18"/>
              </w:rPr>
              <w:t xml:space="preserve"> doppelreihige Radlager</w:t>
            </w:r>
            <w:r w:rsidR="00AE698F">
              <w:rPr>
                <w:sz w:val="18"/>
                <w:szCs w:val="18"/>
              </w:rPr>
              <w:t xml:space="preserve"> für ein langlebiges, reibungsarmes Rollverhalten </w:t>
            </w:r>
          </w:p>
        </w:tc>
      </w:tr>
    </w:tbl>
    <w:p w14:paraId="6038B6BB" w14:textId="77777777" w:rsidR="001A2171" w:rsidRDefault="001A2171">
      <w:pPr>
        <w:spacing w:line="360" w:lineRule="auto"/>
        <w:jc w:val="both"/>
      </w:pPr>
    </w:p>
    <w:p w14:paraId="7AC713A6" w14:textId="77777777" w:rsidR="00E51A0F" w:rsidRDefault="00E51A0F">
      <w:pPr>
        <w:spacing w:line="360" w:lineRule="auto"/>
        <w:jc w:val="both"/>
      </w:pPr>
    </w:p>
    <w:tbl>
      <w:tblPr>
        <w:tblStyle w:val="TabellemithellemGitternetz"/>
        <w:tblW w:w="0" w:type="auto"/>
        <w:tblLayout w:type="fixed"/>
        <w:tblLook w:val="0000" w:firstRow="0" w:lastRow="0" w:firstColumn="0" w:lastColumn="0" w:noHBand="0" w:noVBand="0"/>
      </w:tblPr>
      <w:tblGrid>
        <w:gridCol w:w="1225"/>
        <w:gridCol w:w="3986"/>
        <w:gridCol w:w="1047"/>
        <w:gridCol w:w="1385"/>
      </w:tblGrid>
      <w:tr w:rsidR="00E51A0F" w:rsidRPr="00AE698F" w14:paraId="07C33E66" w14:textId="77777777" w:rsidTr="007668EB">
        <w:trPr>
          <w:trHeight w:val="207"/>
        </w:trPr>
        <w:tc>
          <w:tcPr>
            <w:tcW w:w="1225" w:type="dxa"/>
          </w:tcPr>
          <w:p w14:paraId="4249C0D7" w14:textId="77777777" w:rsidR="00E51A0F" w:rsidRPr="00AE698F" w:rsidRDefault="00E51A0F">
            <w:pPr>
              <w:jc w:val="both"/>
              <w:rPr>
                <w:sz w:val="18"/>
                <w:szCs w:val="18"/>
              </w:rPr>
            </w:pPr>
            <w:r w:rsidRPr="00AE698F">
              <w:rPr>
                <w:sz w:val="18"/>
                <w:szCs w:val="18"/>
              </w:rPr>
              <w:t>Bilder:</w:t>
            </w:r>
          </w:p>
        </w:tc>
        <w:tc>
          <w:tcPr>
            <w:tcW w:w="3986" w:type="dxa"/>
          </w:tcPr>
          <w:p w14:paraId="2277C38F" w14:textId="7585DC71" w:rsidR="00E51A0F" w:rsidRPr="00AE698F" w:rsidRDefault="00F21CD3">
            <w:pPr>
              <w:rPr>
                <w:sz w:val="18"/>
                <w:szCs w:val="18"/>
              </w:rPr>
            </w:pPr>
            <w:r w:rsidRPr="00AE698F">
              <w:rPr>
                <w:sz w:val="18"/>
                <w:szCs w:val="18"/>
              </w:rPr>
              <w:t>radlager_2000px</w:t>
            </w:r>
            <w:r w:rsidR="00BE56D0" w:rsidRPr="00AE698F">
              <w:rPr>
                <w:sz w:val="18"/>
                <w:szCs w:val="18"/>
              </w:rPr>
              <w:t>.jpg</w:t>
            </w:r>
          </w:p>
        </w:tc>
        <w:tc>
          <w:tcPr>
            <w:tcW w:w="1047" w:type="dxa"/>
          </w:tcPr>
          <w:p w14:paraId="67961B6A" w14:textId="77777777" w:rsidR="00E51A0F" w:rsidRPr="00AE698F" w:rsidRDefault="00E51A0F">
            <w:pPr>
              <w:jc w:val="both"/>
              <w:rPr>
                <w:sz w:val="18"/>
                <w:szCs w:val="18"/>
              </w:rPr>
            </w:pPr>
            <w:r w:rsidRPr="00AE698F">
              <w:rPr>
                <w:sz w:val="18"/>
                <w:szCs w:val="18"/>
              </w:rPr>
              <w:t>Zeichen:</w:t>
            </w:r>
          </w:p>
        </w:tc>
        <w:tc>
          <w:tcPr>
            <w:tcW w:w="1385" w:type="dxa"/>
          </w:tcPr>
          <w:p w14:paraId="04A6A2E1" w14:textId="67CF469E" w:rsidR="00E51A0F" w:rsidRPr="00AE698F" w:rsidRDefault="00AE698F">
            <w:pPr>
              <w:jc w:val="right"/>
              <w:rPr>
                <w:sz w:val="18"/>
                <w:szCs w:val="18"/>
              </w:rPr>
            </w:pPr>
            <w:r w:rsidRPr="00AE698F">
              <w:rPr>
                <w:sz w:val="18"/>
                <w:szCs w:val="18"/>
              </w:rPr>
              <w:t>1.</w:t>
            </w:r>
            <w:r w:rsidR="00EC347C">
              <w:rPr>
                <w:sz w:val="18"/>
                <w:szCs w:val="18"/>
              </w:rPr>
              <w:t>36</w:t>
            </w:r>
            <w:r w:rsidR="00B718B8">
              <w:rPr>
                <w:sz w:val="18"/>
                <w:szCs w:val="18"/>
              </w:rPr>
              <w:t>3</w:t>
            </w:r>
          </w:p>
        </w:tc>
      </w:tr>
      <w:tr w:rsidR="00E51A0F" w:rsidRPr="00AE698F" w14:paraId="39FFA470" w14:textId="77777777" w:rsidTr="007668EB">
        <w:trPr>
          <w:trHeight w:val="325"/>
        </w:trPr>
        <w:tc>
          <w:tcPr>
            <w:tcW w:w="1225" w:type="dxa"/>
          </w:tcPr>
          <w:p w14:paraId="683D8C6B" w14:textId="77777777" w:rsidR="00E51A0F" w:rsidRPr="00AE698F" w:rsidRDefault="00E51A0F">
            <w:pPr>
              <w:spacing w:before="120"/>
              <w:jc w:val="both"/>
              <w:rPr>
                <w:sz w:val="18"/>
                <w:szCs w:val="18"/>
              </w:rPr>
            </w:pPr>
            <w:r w:rsidRPr="00AE698F">
              <w:rPr>
                <w:sz w:val="18"/>
                <w:szCs w:val="18"/>
              </w:rPr>
              <w:t>Dateiname:</w:t>
            </w:r>
          </w:p>
        </w:tc>
        <w:tc>
          <w:tcPr>
            <w:tcW w:w="3986" w:type="dxa"/>
          </w:tcPr>
          <w:p w14:paraId="1C40DC02" w14:textId="25C00DC4" w:rsidR="00E51A0F" w:rsidRPr="00AE698F" w:rsidRDefault="00AE698F">
            <w:pPr>
              <w:spacing w:before="120"/>
              <w:rPr>
                <w:sz w:val="18"/>
                <w:szCs w:val="18"/>
              </w:rPr>
            </w:pPr>
            <w:r w:rsidRPr="00AE698F">
              <w:rPr>
                <w:sz w:val="18"/>
                <w:szCs w:val="18"/>
              </w:rPr>
              <w:t>202</w:t>
            </w:r>
            <w:r w:rsidR="00D43B59">
              <w:rPr>
                <w:sz w:val="18"/>
                <w:szCs w:val="18"/>
              </w:rPr>
              <w:t>206001</w:t>
            </w:r>
            <w:r w:rsidRPr="00AE698F">
              <w:rPr>
                <w:sz w:val="18"/>
                <w:szCs w:val="18"/>
              </w:rPr>
              <w:t>_pm_radlager</w:t>
            </w:r>
            <w:r w:rsidR="00BE56D0" w:rsidRPr="00AE698F">
              <w:rPr>
                <w:sz w:val="18"/>
                <w:szCs w:val="18"/>
              </w:rPr>
              <w:t>.docx</w:t>
            </w:r>
          </w:p>
        </w:tc>
        <w:tc>
          <w:tcPr>
            <w:tcW w:w="1047" w:type="dxa"/>
          </w:tcPr>
          <w:p w14:paraId="7F450B38" w14:textId="77777777" w:rsidR="00E51A0F" w:rsidRPr="00AE698F" w:rsidRDefault="00E51A0F">
            <w:pPr>
              <w:spacing w:before="120"/>
              <w:jc w:val="both"/>
              <w:rPr>
                <w:sz w:val="18"/>
                <w:szCs w:val="18"/>
              </w:rPr>
            </w:pPr>
            <w:r w:rsidRPr="00AE698F">
              <w:rPr>
                <w:sz w:val="18"/>
                <w:szCs w:val="18"/>
              </w:rPr>
              <w:t>Datum:</w:t>
            </w:r>
          </w:p>
        </w:tc>
        <w:tc>
          <w:tcPr>
            <w:tcW w:w="1385" w:type="dxa"/>
          </w:tcPr>
          <w:p w14:paraId="16CC6306" w14:textId="1D83449C" w:rsidR="00E51A0F" w:rsidRPr="00AE698F" w:rsidRDefault="00C359C5">
            <w:pPr>
              <w:spacing w:before="120"/>
              <w:jc w:val="right"/>
              <w:rPr>
                <w:sz w:val="18"/>
                <w:szCs w:val="18"/>
              </w:rPr>
            </w:pPr>
            <w:r>
              <w:rPr>
                <w:sz w:val="18"/>
                <w:szCs w:val="18"/>
              </w:rPr>
              <w:t>10.08.2022</w:t>
            </w:r>
          </w:p>
        </w:tc>
      </w:tr>
    </w:tbl>
    <w:p w14:paraId="1F542C90" w14:textId="77777777" w:rsidR="00E51A0F" w:rsidRDefault="00E51A0F">
      <w:pPr>
        <w:rPr>
          <w:b/>
          <w:sz w:val="16"/>
        </w:rPr>
      </w:pPr>
    </w:p>
    <w:p w14:paraId="773A8E07" w14:textId="77777777" w:rsidR="00AE698F" w:rsidRDefault="00AE698F">
      <w:pPr>
        <w:rPr>
          <w:b/>
          <w:sz w:val="16"/>
          <w:szCs w:val="16"/>
        </w:rPr>
      </w:pPr>
    </w:p>
    <w:p w14:paraId="4F2327D3" w14:textId="77777777" w:rsidR="00AE698F" w:rsidRDefault="00AE698F">
      <w:pPr>
        <w:rPr>
          <w:b/>
          <w:sz w:val="16"/>
          <w:szCs w:val="16"/>
        </w:rPr>
      </w:pPr>
    </w:p>
    <w:p w14:paraId="45397666" w14:textId="77777777" w:rsidR="00AE698F" w:rsidRDefault="00AE698F">
      <w:pPr>
        <w:rPr>
          <w:b/>
          <w:sz w:val="16"/>
          <w:szCs w:val="16"/>
        </w:rPr>
      </w:pPr>
    </w:p>
    <w:p w14:paraId="73A06C7D" w14:textId="77777777" w:rsidR="00AE698F" w:rsidRDefault="00AE698F">
      <w:pPr>
        <w:rPr>
          <w:b/>
          <w:sz w:val="16"/>
          <w:szCs w:val="16"/>
        </w:rPr>
      </w:pPr>
    </w:p>
    <w:p w14:paraId="74B15B4C" w14:textId="77777777" w:rsidR="00AE698F" w:rsidRDefault="00AE698F">
      <w:pPr>
        <w:rPr>
          <w:b/>
          <w:sz w:val="16"/>
          <w:szCs w:val="16"/>
        </w:rPr>
      </w:pPr>
    </w:p>
    <w:p w14:paraId="7B3E5BE9" w14:textId="6C6EE0C2" w:rsidR="00E51A0F" w:rsidRDefault="00E51A0F">
      <w:pPr>
        <w:rPr>
          <w:b/>
          <w:sz w:val="16"/>
          <w:szCs w:val="16"/>
        </w:rPr>
      </w:pPr>
      <w:r>
        <w:rPr>
          <w:b/>
          <w:sz w:val="16"/>
          <w:szCs w:val="16"/>
        </w:rPr>
        <w:t>Unternehmenshintergrund</w:t>
      </w:r>
    </w:p>
    <w:p w14:paraId="2259046A" w14:textId="77777777" w:rsidR="00E51A0F" w:rsidRDefault="00E51A0F">
      <w:pPr>
        <w:rPr>
          <w:b/>
          <w:sz w:val="16"/>
          <w:szCs w:val="16"/>
        </w:rPr>
      </w:pPr>
    </w:p>
    <w:p w14:paraId="4C0B1945" w14:textId="70703662"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even" r:id="rId8"/>
      <w:headerReference w:type="default" r:id="rId9"/>
      <w:footerReference w:type="even" r:id="rId10"/>
      <w:footerReference w:type="default" r:id="rId11"/>
      <w:headerReference w:type="first" r:id="rId12"/>
      <w:footerReference w:type="first" r:id="rId13"/>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D0DF" w14:textId="77777777" w:rsidR="00EC347C" w:rsidRDefault="00EC3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0B9" w14:textId="77777777" w:rsidR="00E51A0F" w:rsidRDefault="00E51A0F">
    <w:pPr>
      <w:pStyle w:val="Fuzeile"/>
      <w:tabs>
        <w:tab w:val="clear" w:pos="4536"/>
        <w:tab w:val="clear" w:pos="9072"/>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0FEB" w14:textId="77777777" w:rsidR="00EC347C" w:rsidRDefault="00EC34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07C" w14:textId="1FB12A83"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A661D4">
      <w:rPr>
        <w:rStyle w:val="Seitenzahl"/>
        <w:sz w:val="18"/>
      </w:rPr>
      <w:t>Radlager</w:t>
    </w:r>
    <w:r w:rsidR="00EC347C">
      <w:rPr>
        <w:rStyle w:val="Seitenzahl"/>
        <w:sz w:val="18"/>
      </w:rPr>
      <w:t xml:space="preserve"> und Radlagersätze</w:t>
    </w:r>
    <w:r w:rsidR="0041579F">
      <w:rPr>
        <w:rStyle w:val="Seitenzah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16cid:durableId="129525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44CD4"/>
    <w:rsid w:val="000A5F5D"/>
    <w:rsid w:val="001A2171"/>
    <w:rsid w:val="001F1B1C"/>
    <w:rsid w:val="002038BC"/>
    <w:rsid w:val="00212B11"/>
    <w:rsid w:val="00232967"/>
    <w:rsid w:val="002860FE"/>
    <w:rsid w:val="002A6DD5"/>
    <w:rsid w:val="0041579F"/>
    <w:rsid w:val="00422C80"/>
    <w:rsid w:val="0050748B"/>
    <w:rsid w:val="00535F43"/>
    <w:rsid w:val="0058226F"/>
    <w:rsid w:val="006654D7"/>
    <w:rsid w:val="007668EB"/>
    <w:rsid w:val="007B2B6A"/>
    <w:rsid w:val="00805E1D"/>
    <w:rsid w:val="00862C83"/>
    <w:rsid w:val="009532FA"/>
    <w:rsid w:val="00963750"/>
    <w:rsid w:val="00A025B2"/>
    <w:rsid w:val="00A661D4"/>
    <w:rsid w:val="00A93EEF"/>
    <w:rsid w:val="00AE698F"/>
    <w:rsid w:val="00B105FF"/>
    <w:rsid w:val="00B718B8"/>
    <w:rsid w:val="00BD638E"/>
    <w:rsid w:val="00BE56D0"/>
    <w:rsid w:val="00C32BA6"/>
    <w:rsid w:val="00C359C5"/>
    <w:rsid w:val="00C42C58"/>
    <w:rsid w:val="00D43B59"/>
    <w:rsid w:val="00DA7BB4"/>
    <w:rsid w:val="00E02678"/>
    <w:rsid w:val="00E51A0F"/>
    <w:rsid w:val="00E52FBF"/>
    <w:rsid w:val="00E538A7"/>
    <w:rsid w:val="00EC0631"/>
    <w:rsid w:val="00EC347C"/>
    <w:rsid w:val="00F21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26F"/>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B718B8"/>
    <w:rPr>
      <w:sz w:val="16"/>
      <w:szCs w:val="16"/>
    </w:rPr>
  </w:style>
  <w:style w:type="paragraph" w:styleId="Kommentartext">
    <w:name w:val="annotation text"/>
    <w:basedOn w:val="Standard"/>
    <w:link w:val="KommentartextZchn"/>
    <w:uiPriority w:val="99"/>
    <w:semiHidden/>
    <w:unhideWhenUsed/>
    <w:rsid w:val="00B718B8"/>
  </w:style>
  <w:style w:type="character" w:customStyle="1" w:styleId="KommentartextZchn">
    <w:name w:val="Kommentartext Zchn"/>
    <w:basedOn w:val="Absatz-Standardschriftart"/>
    <w:link w:val="Kommentartext"/>
    <w:uiPriority w:val="99"/>
    <w:semiHidden/>
    <w:rsid w:val="00B718B8"/>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B718B8"/>
    <w:rPr>
      <w:b/>
      <w:bCs/>
    </w:rPr>
  </w:style>
  <w:style w:type="character" w:customStyle="1" w:styleId="KommentarthemaZchn">
    <w:name w:val="Kommentarthema Zchn"/>
    <w:basedOn w:val="KommentartextZchn"/>
    <w:link w:val="Kommentarthema"/>
    <w:uiPriority w:val="99"/>
    <w:semiHidden/>
    <w:rsid w:val="00B718B8"/>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mahredv</cp:lastModifiedBy>
  <cp:revision>4</cp:revision>
  <cp:lastPrinted>2021-07-23T13:31:00Z</cp:lastPrinted>
  <dcterms:created xsi:type="dcterms:W3CDTF">2022-04-22T08:13:00Z</dcterms:created>
  <dcterms:modified xsi:type="dcterms:W3CDTF">2022-08-10T11:59:00Z</dcterms:modified>
</cp:coreProperties>
</file>