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C88" w:rsidRPr="003A5A2F" w:rsidRDefault="003A5A2F" w:rsidP="008659D9">
      <w:pPr>
        <w:rPr>
          <w:sz w:val="40"/>
          <w:szCs w:val="40"/>
          <w:lang w:val="en-US"/>
        </w:rPr>
      </w:pPr>
      <w:bookmarkStart w:id="0" w:name="_GoBack"/>
      <w:bookmarkEnd w:id="0"/>
      <w:r w:rsidRPr="00A06289">
        <w:rPr>
          <w:sz w:val="40"/>
          <w:szCs w:val="40"/>
          <w:lang w:val="en-US"/>
        </w:rPr>
        <w:t>Press Release</w:t>
      </w:r>
    </w:p>
    <w:p w:rsidR="00040C88" w:rsidRPr="003A5A2F" w:rsidRDefault="00040C88">
      <w:pPr>
        <w:spacing w:line="360" w:lineRule="auto"/>
        <w:ind w:right="-2"/>
        <w:rPr>
          <w:b/>
          <w:sz w:val="24"/>
          <w:lang w:val="en-US"/>
        </w:rPr>
      </w:pPr>
    </w:p>
    <w:p w:rsidR="00FC78C5" w:rsidRDefault="00FC78C5" w:rsidP="009666B3">
      <w:pPr>
        <w:spacing w:line="360" w:lineRule="auto"/>
        <w:rPr>
          <w:b/>
          <w:sz w:val="24"/>
          <w:lang w:val="en-US"/>
        </w:rPr>
      </w:pPr>
      <w:r>
        <w:rPr>
          <w:b/>
          <w:sz w:val="24"/>
          <w:lang w:val="en-US"/>
        </w:rPr>
        <w:t xml:space="preserve">ECHT Antwerp: </w:t>
      </w:r>
      <w:r w:rsidRPr="008130CC">
        <w:rPr>
          <w:b/>
          <w:sz w:val="24"/>
          <w:lang w:val="en-US"/>
        </w:rPr>
        <w:t xml:space="preserve">Temperature </w:t>
      </w:r>
      <w:r>
        <w:rPr>
          <w:b/>
          <w:sz w:val="24"/>
          <w:lang w:val="en-US"/>
        </w:rPr>
        <w:t>detection for heavy metal</w:t>
      </w:r>
    </w:p>
    <w:p w:rsidR="009666B3" w:rsidRDefault="009666B3" w:rsidP="009666B3">
      <w:pPr>
        <w:spacing w:line="360" w:lineRule="auto"/>
        <w:ind w:right="-2"/>
        <w:rPr>
          <w:lang w:val="en-US"/>
        </w:rPr>
      </w:pPr>
    </w:p>
    <w:p w:rsidR="009666B3" w:rsidRDefault="00FC78C5" w:rsidP="005527A7">
      <w:pPr>
        <w:spacing w:line="360" w:lineRule="auto"/>
        <w:jc w:val="both"/>
        <w:rPr>
          <w:lang w:val="en-US"/>
        </w:rPr>
      </w:pPr>
      <w:r w:rsidRPr="00FC78C5">
        <w:rPr>
          <w:lang w:val="en-US"/>
        </w:rPr>
        <w:t>Fluke Process Instruments will e</w:t>
      </w:r>
      <w:r>
        <w:rPr>
          <w:lang w:val="en-US"/>
        </w:rPr>
        <w:t xml:space="preserve">xhibit temperature </w:t>
      </w:r>
      <w:r w:rsidR="00E7325C">
        <w:rPr>
          <w:lang w:val="en-US"/>
        </w:rPr>
        <w:t xml:space="preserve">sensing </w:t>
      </w:r>
      <w:r>
        <w:rPr>
          <w:lang w:val="en-US"/>
        </w:rPr>
        <w:t xml:space="preserve">solutions at the </w:t>
      </w:r>
      <w:r w:rsidRPr="00FC78C5">
        <w:rPr>
          <w:lang w:val="en-US"/>
        </w:rPr>
        <w:t>European Conference on Heat Treatment</w:t>
      </w:r>
      <w:r>
        <w:rPr>
          <w:lang w:val="en-US"/>
        </w:rPr>
        <w:t xml:space="preserve"> in Antwerp, Belgium. </w:t>
      </w:r>
      <w:r w:rsidR="00E7325C">
        <w:rPr>
          <w:lang w:val="en-US"/>
        </w:rPr>
        <w:t>The manufacturer develops both</w:t>
      </w:r>
      <w:r w:rsidR="00E7325C" w:rsidRPr="00E7325C">
        <w:rPr>
          <w:lang w:val="en-US"/>
        </w:rPr>
        <w:t xml:space="preserve"> </w:t>
      </w:r>
      <w:r w:rsidR="00E7325C">
        <w:rPr>
          <w:lang w:val="en-US"/>
        </w:rPr>
        <w:t>infrared sensors for continuous remote monitoring of equipment</w:t>
      </w:r>
      <w:r w:rsidR="00E7325C" w:rsidRPr="00E7325C">
        <w:rPr>
          <w:lang w:val="en-US"/>
        </w:rPr>
        <w:t xml:space="preserve"> </w:t>
      </w:r>
      <w:r w:rsidR="00E7325C">
        <w:rPr>
          <w:lang w:val="en-US"/>
        </w:rPr>
        <w:t>and processes and datalogging systems for furnace surveys and in-process product temperature profiling. D</w:t>
      </w:r>
      <w:r w:rsidR="00E7325C" w:rsidRPr="007323F1">
        <w:rPr>
          <w:lang w:val="en-US"/>
        </w:rPr>
        <w:t>e</w:t>
      </w:r>
      <w:r w:rsidR="00E7325C">
        <w:rPr>
          <w:lang w:val="en-US"/>
        </w:rPr>
        <w:t>sign</w:t>
      </w:r>
      <w:r w:rsidR="00E7325C" w:rsidRPr="007323F1">
        <w:rPr>
          <w:lang w:val="en-US"/>
        </w:rPr>
        <w:t>ed to meet today</w:t>
      </w:r>
      <w:r w:rsidR="00E7325C">
        <w:rPr>
          <w:lang w:val="en-US"/>
        </w:rPr>
        <w:t>’</w:t>
      </w:r>
      <w:r w:rsidR="00E7325C" w:rsidRPr="007323F1">
        <w:rPr>
          <w:lang w:val="en-US"/>
        </w:rPr>
        <w:t>s</w:t>
      </w:r>
      <w:r w:rsidR="00E7325C">
        <w:rPr>
          <w:lang w:val="en-US"/>
        </w:rPr>
        <w:t xml:space="preserve"> </w:t>
      </w:r>
      <w:r w:rsidR="00E7325C" w:rsidRPr="007323F1">
        <w:rPr>
          <w:lang w:val="en-US"/>
        </w:rPr>
        <w:t>demanding industrial automation requirements</w:t>
      </w:r>
      <w:r w:rsidR="00E7325C">
        <w:rPr>
          <w:lang w:val="en-US"/>
        </w:rPr>
        <w:t xml:space="preserve">, the hardware and software systems allow operators to optimize their processes for consistent high quality and fuel efficiency. An exhibition highlight, the ThermoView TV40 </w:t>
      </w:r>
      <w:r w:rsidR="00E7325C" w:rsidRPr="00E66B35">
        <w:rPr>
          <w:lang w:val="en-US"/>
        </w:rPr>
        <w:t xml:space="preserve">industrial-grade </w:t>
      </w:r>
      <w:r w:rsidR="00E7325C">
        <w:rPr>
          <w:lang w:val="en-US"/>
        </w:rPr>
        <w:t xml:space="preserve">thermal imager with an </w:t>
      </w:r>
      <w:r w:rsidR="00E7325C" w:rsidRPr="00650AA7">
        <w:rPr>
          <w:lang w:val="en-US"/>
        </w:rPr>
        <w:t>integrated visible</w:t>
      </w:r>
      <w:r w:rsidR="00E7325C">
        <w:rPr>
          <w:lang w:val="en-US"/>
        </w:rPr>
        <w:t>-</w:t>
      </w:r>
      <w:r w:rsidR="00E7325C" w:rsidRPr="00650AA7">
        <w:rPr>
          <w:lang w:val="en-US"/>
        </w:rPr>
        <w:t>light</w:t>
      </w:r>
      <w:r w:rsidR="00E7325C" w:rsidRPr="00622FA7">
        <w:rPr>
          <w:lang w:val="en-US"/>
        </w:rPr>
        <w:t xml:space="preserve"> </w:t>
      </w:r>
      <w:r w:rsidR="00E7325C">
        <w:rPr>
          <w:lang w:val="en-US"/>
        </w:rPr>
        <w:t xml:space="preserve">camera, enables 24/7 temperature monitoring in a </w:t>
      </w:r>
      <w:r w:rsidR="00E7325C" w:rsidRPr="00E65897">
        <w:rPr>
          <w:lang w:val="en-US"/>
        </w:rPr>
        <w:t>-10</w:t>
      </w:r>
      <w:r w:rsidR="00E7325C">
        <w:rPr>
          <w:lang w:val="en-US"/>
        </w:rPr>
        <w:t xml:space="preserve"> °C</w:t>
      </w:r>
      <w:r w:rsidR="00E7325C" w:rsidRPr="00E65897">
        <w:rPr>
          <w:lang w:val="en-US"/>
        </w:rPr>
        <w:t xml:space="preserve"> to 1200 °C</w:t>
      </w:r>
      <w:r w:rsidR="00E7325C">
        <w:rPr>
          <w:lang w:val="en-US"/>
        </w:rPr>
        <w:t xml:space="preserve"> range. Target applications include iron foundries where the imagers check t</w:t>
      </w:r>
      <w:r w:rsidR="00E7325C" w:rsidRPr="005A220B">
        <w:rPr>
          <w:lang w:val="en-US"/>
        </w:rPr>
        <w:t>emperature</w:t>
      </w:r>
      <w:r w:rsidR="00E7325C">
        <w:rPr>
          <w:lang w:val="en-US"/>
        </w:rPr>
        <w:t>s</w:t>
      </w:r>
      <w:r w:rsidR="00E7325C" w:rsidRPr="005A220B">
        <w:rPr>
          <w:lang w:val="en-US"/>
        </w:rPr>
        <w:t xml:space="preserve"> of molten metal</w:t>
      </w:r>
      <w:r w:rsidR="00E7325C">
        <w:rPr>
          <w:lang w:val="en-US"/>
        </w:rPr>
        <w:t xml:space="preserve"> and monitor ladles to ensure that the </w:t>
      </w:r>
      <w:r w:rsidR="00E7325C" w:rsidRPr="005A220B">
        <w:rPr>
          <w:lang w:val="en-US"/>
        </w:rPr>
        <w:t>refractory lining</w:t>
      </w:r>
      <w:r w:rsidR="00E7325C">
        <w:rPr>
          <w:lang w:val="en-US"/>
        </w:rPr>
        <w:t xml:space="preserve"> is intact. Users can define various areas of interest with distinct alarm conditions. Also on show, the Datapaq Furnace Tracker</w:t>
      </w:r>
      <w:r w:rsidR="00E7325C" w:rsidRPr="00E7325C">
        <w:rPr>
          <w:lang w:val="en-US"/>
        </w:rPr>
        <w:t xml:space="preserve"> </w:t>
      </w:r>
      <w:r w:rsidR="00E7325C">
        <w:rPr>
          <w:lang w:val="en-US"/>
        </w:rPr>
        <w:t xml:space="preserve">performs </w:t>
      </w:r>
      <w:r w:rsidR="00E7325C" w:rsidRPr="008C7623">
        <w:rPr>
          <w:lang w:val="en-US"/>
        </w:rPr>
        <w:t xml:space="preserve">temperature uniformity surveys (TUS) and system accuracy tests (SAT) compliant with </w:t>
      </w:r>
      <w:r w:rsidR="00E7325C" w:rsidRPr="00616418">
        <w:rPr>
          <w:lang w:val="en-US"/>
        </w:rPr>
        <w:t>NADCAP</w:t>
      </w:r>
      <w:r w:rsidR="00E7325C" w:rsidRPr="00F25B9B">
        <w:rPr>
          <w:lang w:val="en-US"/>
        </w:rPr>
        <w:t xml:space="preserve"> </w:t>
      </w:r>
      <w:r w:rsidR="00E7325C" w:rsidRPr="00E73EEC">
        <w:rPr>
          <w:lang w:val="en-US"/>
        </w:rPr>
        <w:t>AMS 2750E and CQI-9</w:t>
      </w:r>
      <w:r w:rsidR="00E7325C">
        <w:rPr>
          <w:lang w:val="en-US"/>
        </w:rPr>
        <w:t>. This system is based on the Datapaq TP3 data logger with up to 20 measurement channels</w:t>
      </w:r>
      <w:r w:rsidR="005527A7">
        <w:rPr>
          <w:lang w:val="en-US"/>
        </w:rPr>
        <w:t>. It is</w:t>
      </w:r>
      <w:r w:rsidR="00E7325C">
        <w:rPr>
          <w:lang w:val="en-US"/>
        </w:rPr>
        <w:t xml:space="preserve"> designed to travel through heat-treatment and quench processes. </w:t>
      </w:r>
      <w:r w:rsidR="005527A7">
        <w:rPr>
          <w:lang w:val="en-US"/>
        </w:rPr>
        <w:t>Datapaq thermal profilers</w:t>
      </w:r>
      <w:r w:rsidR="00E7325C">
        <w:rPr>
          <w:lang w:val="en-US"/>
        </w:rPr>
        <w:t xml:space="preserve"> include analysis and reporting software, thermocouples, and thermal barriers. </w:t>
      </w:r>
      <w:r w:rsidR="00E7325C" w:rsidRPr="00187F96">
        <w:rPr>
          <w:lang w:val="en-US"/>
        </w:rPr>
        <w:t xml:space="preserve">The team will be happy to advise visitors on the best way to tackle their particular </w:t>
      </w:r>
      <w:r w:rsidR="00B5560C">
        <w:rPr>
          <w:lang w:val="en-US"/>
        </w:rPr>
        <w:t>measurement needs</w:t>
      </w:r>
      <w:r w:rsidR="00E7325C" w:rsidRPr="00187F96">
        <w:rPr>
          <w:lang w:val="en-US"/>
        </w:rPr>
        <w:t>.</w:t>
      </w:r>
    </w:p>
    <w:p w:rsidR="00FC78C5" w:rsidRDefault="00FC78C5" w:rsidP="009666B3">
      <w:pPr>
        <w:spacing w:line="360" w:lineRule="auto"/>
        <w:jc w:val="both"/>
        <w:rPr>
          <w:b/>
          <w:bCs/>
          <w:lang w:val="en-US"/>
        </w:rPr>
      </w:pPr>
      <w:r w:rsidRPr="00FC78C5">
        <w:rPr>
          <w:b/>
          <w:bCs/>
          <w:lang w:val="en-US"/>
        </w:rPr>
        <w:t>ECHT</w:t>
      </w:r>
      <w:r w:rsidR="00E7325C">
        <w:rPr>
          <w:b/>
          <w:bCs/>
          <w:lang w:val="en-US"/>
        </w:rPr>
        <w:t xml:space="preserve"> </w:t>
      </w:r>
      <w:r w:rsidRPr="00FC78C5">
        <w:rPr>
          <w:b/>
          <w:bCs/>
          <w:lang w:val="en-US"/>
        </w:rPr>
        <w:t>European Conference on Heat Treatment</w:t>
      </w:r>
    </w:p>
    <w:p w:rsidR="00FC78C5" w:rsidRDefault="00FC78C5" w:rsidP="009666B3">
      <w:pPr>
        <w:spacing w:line="360" w:lineRule="auto"/>
        <w:jc w:val="both"/>
        <w:rPr>
          <w:b/>
          <w:bCs/>
          <w:lang w:val="en-US"/>
        </w:rPr>
      </w:pPr>
      <w:r w:rsidRPr="00FC78C5">
        <w:rPr>
          <w:b/>
          <w:bCs/>
          <w:lang w:val="en-US"/>
        </w:rPr>
        <w:t>Antwerp, Belgium</w:t>
      </w:r>
      <w:r>
        <w:rPr>
          <w:b/>
          <w:bCs/>
          <w:lang w:val="en-US"/>
        </w:rPr>
        <w:t xml:space="preserve">, </w:t>
      </w:r>
      <w:r w:rsidRPr="00FC78C5">
        <w:rPr>
          <w:b/>
          <w:bCs/>
          <w:lang w:val="en-US"/>
        </w:rPr>
        <w:t xml:space="preserve">25 </w:t>
      </w:r>
      <w:r>
        <w:rPr>
          <w:b/>
          <w:bCs/>
          <w:lang w:val="en-US"/>
        </w:rPr>
        <w:t>–</w:t>
      </w:r>
      <w:r w:rsidRPr="00FC78C5">
        <w:rPr>
          <w:b/>
          <w:bCs/>
          <w:lang w:val="en-US"/>
        </w:rPr>
        <w:t xml:space="preserve"> 27</w:t>
      </w:r>
      <w:r>
        <w:rPr>
          <w:b/>
          <w:bCs/>
          <w:lang w:val="en-US"/>
        </w:rPr>
        <w:t xml:space="preserve"> </w:t>
      </w:r>
      <w:r w:rsidRPr="00FC78C5">
        <w:rPr>
          <w:b/>
          <w:bCs/>
          <w:lang w:val="en-US"/>
        </w:rPr>
        <w:t>Mar</w:t>
      </w:r>
      <w:r>
        <w:rPr>
          <w:b/>
          <w:bCs/>
          <w:lang w:val="en-US"/>
        </w:rPr>
        <w:t>ch</w:t>
      </w:r>
      <w:r w:rsidRPr="00FC78C5">
        <w:rPr>
          <w:b/>
          <w:bCs/>
          <w:lang w:val="en-US"/>
        </w:rPr>
        <w:t xml:space="preserve"> 2020</w:t>
      </w:r>
    </w:p>
    <w:p w:rsidR="00FC78C5" w:rsidRPr="00B5560C" w:rsidRDefault="00FC78C5" w:rsidP="00FC78C5">
      <w:pPr>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FC78C5" w:rsidRPr="00A30395" w:rsidTr="00A16769">
        <w:tc>
          <w:tcPr>
            <w:tcW w:w="7226" w:type="dxa"/>
          </w:tcPr>
          <w:p w:rsidR="00FC78C5" w:rsidRPr="00DF0963" w:rsidRDefault="00C97147" w:rsidP="00A16769">
            <w:pPr>
              <w:spacing w:after="120"/>
              <w:jc w:val="center"/>
              <w:rPr>
                <w:sz w:val="18"/>
                <w:lang w:val="en-US"/>
              </w:rPr>
            </w:pPr>
            <w:r>
              <w:rPr>
                <w:sz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15pt;height:149.55pt">
                  <v:imagedata r:id="rId7" o:title="thermoview_tv40_iron_foundry_ladle_1000px"/>
                </v:shape>
              </w:pict>
            </w:r>
          </w:p>
        </w:tc>
      </w:tr>
      <w:tr w:rsidR="00FC78C5" w:rsidRPr="003866B7" w:rsidTr="00A16769">
        <w:tc>
          <w:tcPr>
            <w:tcW w:w="7226" w:type="dxa"/>
          </w:tcPr>
          <w:p w:rsidR="00FC78C5" w:rsidRPr="003136F1" w:rsidRDefault="009433A2" w:rsidP="00A16769">
            <w:pPr>
              <w:jc w:val="center"/>
              <w:rPr>
                <w:sz w:val="18"/>
                <w:lang w:val="en-US"/>
              </w:rPr>
            </w:pPr>
            <w:r>
              <w:rPr>
                <w:b/>
                <w:sz w:val="18"/>
                <w:lang w:val="en-US"/>
              </w:rPr>
              <w:t>Cap</w:t>
            </w:r>
            <w:r w:rsidR="00FC78C5" w:rsidRPr="00AE5814">
              <w:rPr>
                <w:b/>
                <w:sz w:val="18"/>
                <w:lang w:val="en-US"/>
              </w:rPr>
              <w:t>tion</w:t>
            </w:r>
            <w:r>
              <w:rPr>
                <w:b/>
                <w:sz w:val="18"/>
                <w:lang w:val="en-US"/>
              </w:rPr>
              <w:t xml:space="preserve"> 1</w:t>
            </w:r>
            <w:r w:rsidR="00FC78C5" w:rsidRPr="00AE5814">
              <w:rPr>
                <w:b/>
                <w:sz w:val="18"/>
                <w:lang w:val="en-US"/>
              </w:rPr>
              <w:t>:</w:t>
            </w:r>
            <w:r w:rsidR="00FC78C5" w:rsidRPr="00AE5814">
              <w:rPr>
                <w:sz w:val="18"/>
                <w:lang w:val="en-US"/>
              </w:rPr>
              <w:t xml:space="preserve"> Thermal imagers detect hotspots and help operators avoid costly damage and unscheduled downtime</w:t>
            </w:r>
          </w:p>
        </w:tc>
      </w:tr>
    </w:tbl>
    <w:p w:rsidR="00852BC9" w:rsidRDefault="00852BC9">
      <w:pPr>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9433A2" w:rsidRPr="00A30395" w:rsidTr="00DA626F">
        <w:tc>
          <w:tcPr>
            <w:tcW w:w="7226" w:type="dxa"/>
          </w:tcPr>
          <w:p w:rsidR="009433A2" w:rsidRPr="00DF0963" w:rsidRDefault="00C97147" w:rsidP="00DA626F">
            <w:pPr>
              <w:spacing w:after="120"/>
              <w:jc w:val="center"/>
              <w:rPr>
                <w:sz w:val="18"/>
                <w:lang w:val="en-US"/>
              </w:rPr>
            </w:pPr>
            <w:r>
              <w:rPr>
                <w:sz w:val="18"/>
                <w:lang w:val="en-US"/>
              </w:rPr>
              <w:lastRenderedPageBreak/>
              <w:pict>
                <v:shape id="_x0000_i1026" type="#_x0000_t75" style="width:3in;height:184.3pt">
                  <v:imagedata r:id="rId8" o:title="datapaq_tp3__heat_sink__tb_1000px"/>
                </v:shape>
              </w:pict>
            </w:r>
          </w:p>
        </w:tc>
      </w:tr>
      <w:tr w:rsidR="009433A2" w:rsidRPr="003866B7" w:rsidTr="00DA626F">
        <w:tc>
          <w:tcPr>
            <w:tcW w:w="7226" w:type="dxa"/>
          </w:tcPr>
          <w:p w:rsidR="009433A2" w:rsidRPr="003136F1" w:rsidRDefault="009433A2" w:rsidP="003B5757">
            <w:pPr>
              <w:ind w:left="426" w:right="425"/>
              <w:jc w:val="center"/>
              <w:rPr>
                <w:sz w:val="18"/>
                <w:lang w:val="en-US"/>
              </w:rPr>
            </w:pPr>
            <w:r>
              <w:rPr>
                <w:b/>
                <w:sz w:val="18"/>
                <w:lang w:val="en-US"/>
              </w:rPr>
              <w:t>Cap</w:t>
            </w:r>
            <w:r w:rsidRPr="00AE5814">
              <w:rPr>
                <w:b/>
                <w:sz w:val="18"/>
                <w:lang w:val="en-US"/>
              </w:rPr>
              <w:t>tion</w:t>
            </w:r>
            <w:r>
              <w:rPr>
                <w:b/>
                <w:sz w:val="18"/>
                <w:lang w:val="en-US"/>
              </w:rPr>
              <w:t xml:space="preserve"> 2</w:t>
            </w:r>
            <w:r w:rsidRPr="00AE5814">
              <w:rPr>
                <w:b/>
                <w:sz w:val="18"/>
                <w:lang w:val="en-US"/>
              </w:rPr>
              <w:t>:</w:t>
            </w:r>
            <w:r w:rsidRPr="00AE5814">
              <w:rPr>
                <w:sz w:val="18"/>
                <w:lang w:val="en-US"/>
              </w:rPr>
              <w:t xml:space="preserve"> </w:t>
            </w:r>
            <w:r w:rsidR="003B5757">
              <w:rPr>
                <w:sz w:val="18"/>
                <w:lang w:val="en-US"/>
              </w:rPr>
              <w:t>Furnace Tracker systems enable in-process temperature profiling with up to 20 thermocouples</w:t>
            </w:r>
          </w:p>
        </w:tc>
      </w:tr>
    </w:tbl>
    <w:p w:rsidR="009433A2" w:rsidRDefault="009433A2" w:rsidP="009433A2">
      <w:pPr>
        <w:spacing w:line="360" w:lineRule="auto"/>
        <w:jc w:val="both"/>
        <w:rPr>
          <w:lang w:val="en-US"/>
        </w:rPr>
      </w:pPr>
    </w:p>
    <w:p w:rsidR="003866B7" w:rsidRDefault="003866B7" w:rsidP="009433A2">
      <w:pPr>
        <w:spacing w:line="360" w:lineRule="auto"/>
        <w:jc w:val="both"/>
        <w:rPr>
          <w:lang w:val="en-US"/>
        </w:rPr>
      </w:pPr>
    </w:p>
    <w:p w:rsidR="003866B7" w:rsidRDefault="003866B7" w:rsidP="009433A2">
      <w:pPr>
        <w:spacing w:line="360" w:lineRule="auto"/>
        <w:jc w:val="both"/>
        <w:rPr>
          <w:lang w:val="en-US"/>
        </w:rPr>
      </w:pPr>
    </w:p>
    <w:p w:rsidR="003866B7" w:rsidRDefault="003866B7" w:rsidP="009433A2">
      <w:pPr>
        <w:spacing w:line="360" w:lineRule="auto"/>
        <w:jc w:val="both"/>
        <w:rPr>
          <w:lang w:val="en-US"/>
        </w:rPr>
      </w:pPr>
    </w:p>
    <w:p w:rsidR="003866B7" w:rsidRDefault="003866B7" w:rsidP="009433A2">
      <w:pPr>
        <w:spacing w:line="360" w:lineRule="auto"/>
        <w:jc w:val="both"/>
        <w:rPr>
          <w:lang w:val="en-US"/>
        </w:rPr>
      </w:pPr>
    </w:p>
    <w:p w:rsidR="003866B7" w:rsidRDefault="003866B7" w:rsidP="009433A2">
      <w:pPr>
        <w:spacing w:line="360" w:lineRule="auto"/>
        <w:jc w:val="both"/>
        <w:rPr>
          <w:lang w:val="en-US"/>
        </w:rPr>
      </w:pPr>
    </w:p>
    <w:p w:rsidR="003866B7" w:rsidRDefault="003866B7" w:rsidP="009433A2">
      <w:pPr>
        <w:spacing w:line="360" w:lineRule="auto"/>
        <w:jc w:val="both"/>
        <w:rPr>
          <w:lang w:val="en-US"/>
        </w:rPr>
      </w:pPr>
    </w:p>
    <w:p w:rsidR="003866B7" w:rsidRDefault="003866B7" w:rsidP="009433A2">
      <w:pPr>
        <w:spacing w:line="360" w:lineRule="auto"/>
        <w:jc w:val="both"/>
        <w:rPr>
          <w:lang w:val="en-US"/>
        </w:rPr>
      </w:pPr>
    </w:p>
    <w:p w:rsidR="00761C05" w:rsidRPr="00B5560C" w:rsidRDefault="00761C05" w:rsidP="00761C05">
      <w:pPr>
        <w:jc w:val="both"/>
        <w:rPr>
          <w:lang w:val="en-US"/>
        </w:rPr>
      </w:pPr>
    </w:p>
    <w:tbl>
      <w:tblPr>
        <w:tblW w:w="0" w:type="auto"/>
        <w:tblLayout w:type="fixed"/>
        <w:tblLook w:val="04A0" w:firstRow="1" w:lastRow="0" w:firstColumn="1" w:lastColumn="0" w:noHBand="0" w:noVBand="1"/>
      </w:tblPr>
      <w:tblGrid>
        <w:gridCol w:w="1189"/>
        <w:gridCol w:w="3794"/>
        <w:gridCol w:w="1165"/>
        <w:gridCol w:w="1154"/>
      </w:tblGrid>
      <w:tr w:rsidR="00761C05" w:rsidRPr="00970547" w:rsidTr="004A444E">
        <w:tc>
          <w:tcPr>
            <w:tcW w:w="1189" w:type="dxa"/>
            <w:shd w:val="clear" w:color="auto" w:fill="auto"/>
          </w:tcPr>
          <w:p w:rsidR="00761C05" w:rsidRPr="004A444E" w:rsidRDefault="005A19BF" w:rsidP="004A444E">
            <w:pPr>
              <w:jc w:val="both"/>
              <w:rPr>
                <w:sz w:val="18"/>
                <w:szCs w:val="18"/>
                <w:lang w:val="fr-FR"/>
              </w:rPr>
            </w:pPr>
            <w:r w:rsidRPr="004A444E">
              <w:rPr>
                <w:sz w:val="18"/>
                <w:szCs w:val="18"/>
                <w:lang w:val="en-US"/>
              </w:rPr>
              <w:t>Image/</w:t>
            </w:r>
            <w:r w:rsidR="00761C05" w:rsidRPr="004A444E">
              <w:rPr>
                <w:sz w:val="18"/>
                <w:szCs w:val="18"/>
                <w:lang w:val="en-US"/>
              </w:rPr>
              <w:t>s:</w:t>
            </w:r>
          </w:p>
        </w:tc>
        <w:tc>
          <w:tcPr>
            <w:tcW w:w="3794" w:type="dxa"/>
            <w:shd w:val="clear" w:color="auto" w:fill="auto"/>
          </w:tcPr>
          <w:p w:rsidR="00761C05" w:rsidRDefault="00FC78C5" w:rsidP="004A444E">
            <w:pPr>
              <w:jc w:val="both"/>
              <w:rPr>
                <w:sz w:val="18"/>
                <w:lang w:val="en-US"/>
              </w:rPr>
            </w:pPr>
            <w:r w:rsidRPr="00A63F66">
              <w:rPr>
                <w:sz w:val="18"/>
                <w:lang w:val="en-US"/>
              </w:rPr>
              <w:t>thermoview_tv40_iron_foundry_ladle</w:t>
            </w:r>
          </w:p>
          <w:p w:rsidR="009433A2" w:rsidRPr="00FC78C5" w:rsidRDefault="009433A2" w:rsidP="004A444E">
            <w:pPr>
              <w:jc w:val="both"/>
              <w:rPr>
                <w:sz w:val="18"/>
                <w:szCs w:val="18"/>
                <w:lang w:val="en-US"/>
              </w:rPr>
            </w:pPr>
            <w:r w:rsidRPr="009433A2">
              <w:rPr>
                <w:sz w:val="18"/>
                <w:szCs w:val="18"/>
                <w:lang w:val="en-US"/>
              </w:rPr>
              <w:t>datapaq_tp3__heat_sink__tb</w:t>
            </w:r>
          </w:p>
        </w:tc>
        <w:tc>
          <w:tcPr>
            <w:tcW w:w="1165" w:type="dxa"/>
            <w:shd w:val="clear" w:color="auto" w:fill="auto"/>
          </w:tcPr>
          <w:p w:rsidR="00761C05" w:rsidRPr="004A444E" w:rsidRDefault="00761C05" w:rsidP="004A444E">
            <w:pPr>
              <w:jc w:val="both"/>
              <w:rPr>
                <w:sz w:val="18"/>
                <w:szCs w:val="18"/>
                <w:lang w:val="fr-FR"/>
              </w:rPr>
            </w:pPr>
            <w:r w:rsidRPr="004A444E">
              <w:rPr>
                <w:sz w:val="18"/>
                <w:lang w:val="en-US"/>
              </w:rPr>
              <w:t>Characters:</w:t>
            </w:r>
          </w:p>
        </w:tc>
        <w:tc>
          <w:tcPr>
            <w:tcW w:w="1154" w:type="dxa"/>
            <w:shd w:val="clear" w:color="auto" w:fill="auto"/>
          </w:tcPr>
          <w:p w:rsidR="00761C05" w:rsidRPr="004A444E" w:rsidRDefault="00B5560C" w:rsidP="004A444E">
            <w:pPr>
              <w:jc w:val="right"/>
              <w:rPr>
                <w:sz w:val="18"/>
                <w:szCs w:val="18"/>
                <w:lang w:val="fr-FR"/>
              </w:rPr>
            </w:pPr>
            <w:r>
              <w:rPr>
                <w:sz w:val="18"/>
                <w:lang w:val="en-US"/>
              </w:rPr>
              <w:t>1481</w:t>
            </w:r>
          </w:p>
        </w:tc>
      </w:tr>
      <w:tr w:rsidR="00761C05" w:rsidRPr="00970547" w:rsidTr="004A444E">
        <w:tc>
          <w:tcPr>
            <w:tcW w:w="1189" w:type="dxa"/>
            <w:shd w:val="clear" w:color="auto" w:fill="auto"/>
          </w:tcPr>
          <w:p w:rsidR="00761C05" w:rsidRPr="004A444E" w:rsidRDefault="00761C05" w:rsidP="004A444E">
            <w:pPr>
              <w:spacing w:before="120"/>
              <w:jc w:val="both"/>
              <w:rPr>
                <w:sz w:val="18"/>
                <w:szCs w:val="18"/>
                <w:lang w:val="fr-FR"/>
              </w:rPr>
            </w:pPr>
            <w:r w:rsidRPr="004A444E">
              <w:rPr>
                <w:sz w:val="18"/>
                <w:lang w:val="en-US"/>
              </w:rPr>
              <w:t>File name:</w:t>
            </w:r>
          </w:p>
        </w:tc>
        <w:tc>
          <w:tcPr>
            <w:tcW w:w="3794" w:type="dxa"/>
            <w:shd w:val="clear" w:color="auto" w:fill="auto"/>
          </w:tcPr>
          <w:p w:rsidR="00761C05" w:rsidRPr="004A444E" w:rsidRDefault="00153DC9" w:rsidP="004A444E">
            <w:pPr>
              <w:spacing w:before="120"/>
              <w:jc w:val="both"/>
              <w:rPr>
                <w:sz w:val="18"/>
                <w:szCs w:val="18"/>
              </w:rPr>
            </w:pPr>
            <w:r w:rsidRPr="00153DC9">
              <w:rPr>
                <w:sz w:val="18"/>
                <w:szCs w:val="18"/>
              </w:rPr>
              <w:t>202002008_pm_echt_antwerp_en</w:t>
            </w:r>
          </w:p>
        </w:tc>
        <w:tc>
          <w:tcPr>
            <w:tcW w:w="1165" w:type="dxa"/>
            <w:shd w:val="clear" w:color="auto" w:fill="auto"/>
          </w:tcPr>
          <w:p w:rsidR="00761C05" w:rsidRPr="004A444E" w:rsidRDefault="00761C05" w:rsidP="004A444E">
            <w:pPr>
              <w:spacing w:before="120"/>
              <w:jc w:val="both"/>
              <w:rPr>
                <w:sz w:val="18"/>
                <w:szCs w:val="18"/>
              </w:rPr>
            </w:pPr>
            <w:r w:rsidRPr="004A444E">
              <w:rPr>
                <w:sz w:val="18"/>
                <w:lang w:val="en-US"/>
              </w:rPr>
              <w:t>Date:</w:t>
            </w:r>
          </w:p>
        </w:tc>
        <w:tc>
          <w:tcPr>
            <w:tcW w:w="1154" w:type="dxa"/>
            <w:shd w:val="clear" w:color="auto" w:fill="auto"/>
          </w:tcPr>
          <w:p w:rsidR="00761C05" w:rsidRPr="004A444E" w:rsidRDefault="00C97147" w:rsidP="004A444E">
            <w:pPr>
              <w:spacing w:before="120"/>
              <w:jc w:val="right"/>
              <w:rPr>
                <w:sz w:val="18"/>
                <w:szCs w:val="18"/>
              </w:rPr>
            </w:pPr>
            <w:r>
              <w:rPr>
                <w:sz w:val="18"/>
                <w:lang w:val="en-US"/>
              </w:rPr>
              <w:t>02-12-2020</w:t>
            </w:r>
          </w:p>
        </w:tc>
      </w:tr>
    </w:tbl>
    <w:p w:rsidR="00761C05" w:rsidRPr="00FB19B6" w:rsidRDefault="00761C05" w:rsidP="00761C05">
      <w:pPr>
        <w:spacing w:before="120" w:after="120"/>
        <w:rPr>
          <w:b/>
          <w:sz w:val="16"/>
          <w:lang w:val="en-US"/>
        </w:rPr>
      </w:pPr>
      <w:r w:rsidRPr="00FB19B6">
        <w:rPr>
          <w:b/>
          <w:sz w:val="16"/>
          <w:lang w:val="en-US"/>
        </w:rPr>
        <w:t>About Fluke Process Instruments</w:t>
      </w:r>
    </w:p>
    <w:p w:rsidR="00761C05" w:rsidRPr="00FB19B6" w:rsidRDefault="00761C05" w:rsidP="00761C05">
      <w:pPr>
        <w:jc w:val="both"/>
        <w:rPr>
          <w:sz w:val="16"/>
          <w:lang w:val="en-US"/>
        </w:rPr>
      </w:pPr>
      <w:r w:rsidRPr="00FB19B6">
        <w:rPr>
          <w:sz w:val="16"/>
          <w:lang w:val="en-US"/>
        </w:rPr>
        <w:t>Fluke Process Instruments designs, manufactures, and markets a complete line of infrared temperature measurement and profiling solutions for industrial, maintenance, and quality control applications. Distributed worldwide under the Raytek, Ircon, and Datapaq brands, the products reflect the combined experience of over 125 years in manufacturing the world’s finest temperature measurement tools and devices.</w:t>
      </w:r>
    </w:p>
    <w:p w:rsidR="00761C05" w:rsidRPr="00FB19B6" w:rsidRDefault="00761C05" w:rsidP="00761C05">
      <w:pPr>
        <w:spacing w:before="120" w:after="120"/>
        <w:rPr>
          <w:b/>
          <w:sz w:val="16"/>
          <w:lang w:val="en-US"/>
        </w:rPr>
      </w:pPr>
      <w:r w:rsidRPr="00FB19B6">
        <w:rPr>
          <w:b/>
          <w:sz w:val="16"/>
          <w:lang w:val="en-US"/>
        </w:rPr>
        <w:t>About Fluke</w:t>
      </w:r>
    </w:p>
    <w:p w:rsidR="00761C05" w:rsidRDefault="00761C05" w:rsidP="00761C05">
      <w:pPr>
        <w:jc w:val="both"/>
        <w:rPr>
          <w:sz w:val="16"/>
          <w:lang w:val="en-US"/>
        </w:rPr>
      </w:pPr>
      <w:r w:rsidRPr="00FB19B6">
        <w:rPr>
          <w:sz w:val="16"/>
          <w:lang w:val="en-US"/>
        </w:rPr>
        <w:t>Founded in 1948, Fluke Corporation is the world leader in compact, professional electronic test tools. Fluke customers are technicians, engineers, electricians, and metrologists who install, troubleshoot, and manage industrial, electrical, and electronic equipment and calibration processes.</w:t>
      </w:r>
    </w:p>
    <w:p w:rsidR="00761C05" w:rsidRDefault="00761C05" w:rsidP="00761C05">
      <w:pPr>
        <w:pBdr>
          <w:between w:val="single" w:sz="4" w:space="1" w:color="auto"/>
        </w:pBdr>
        <w:jc w:val="both"/>
        <w:rPr>
          <w:sz w:val="16"/>
          <w:lang w:val="en-US"/>
        </w:rPr>
      </w:pPr>
    </w:p>
    <w:p w:rsidR="00761C05" w:rsidRDefault="00761C05" w:rsidP="00761C05">
      <w:pPr>
        <w:pStyle w:val="Textkrper"/>
        <w:pBdr>
          <w:between w:val="single" w:sz="4" w:space="1" w:color="auto"/>
        </w:pBdr>
        <w:jc w:val="both"/>
        <w:rPr>
          <w:sz w:val="16"/>
          <w:lang w:val="en-US"/>
        </w:rPr>
      </w:pPr>
    </w:p>
    <w:tbl>
      <w:tblPr>
        <w:tblW w:w="0" w:type="auto"/>
        <w:tblLayout w:type="fixed"/>
        <w:tblLook w:val="04A0" w:firstRow="1" w:lastRow="0" w:firstColumn="1" w:lastColumn="0" w:noHBand="0" w:noVBand="1"/>
      </w:tblPr>
      <w:tblGrid>
        <w:gridCol w:w="4983"/>
        <w:gridCol w:w="2319"/>
      </w:tblGrid>
      <w:tr w:rsidR="00761C05" w:rsidRPr="00970547" w:rsidTr="004A444E">
        <w:tc>
          <w:tcPr>
            <w:tcW w:w="4983" w:type="dxa"/>
            <w:shd w:val="clear" w:color="auto" w:fill="auto"/>
          </w:tcPr>
          <w:p w:rsidR="00150021" w:rsidRPr="00C32AA6" w:rsidRDefault="00150021" w:rsidP="00150021">
            <w:pPr>
              <w:spacing w:after="60"/>
              <w:rPr>
                <w:b/>
                <w:lang w:val="en-US"/>
              </w:rPr>
            </w:pPr>
            <w:r w:rsidRPr="00FB19B6">
              <w:rPr>
                <w:b/>
                <w:lang w:val="en-US"/>
              </w:rPr>
              <w:t>Contact:</w:t>
            </w:r>
          </w:p>
          <w:p w:rsidR="00150021" w:rsidRPr="00F53506" w:rsidRDefault="00150021" w:rsidP="00150021">
            <w:pPr>
              <w:pStyle w:val="berschrift2"/>
              <w:ind w:right="-68"/>
              <w:jc w:val="left"/>
              <w:rPr>
                <w:sz w:val="20"/>
                <w:lang w:val="en-US"/>
              </w:rPr>
            </w:pPr>
            <w:r w:rsidRPr="00F53506">
              <w:rPr>
                <w:sz w:val="20"/>
                <w:lang w:val="en-US"/>
              </w:rPr>
              <w:t>Fluke Process Instruments GmbH</w:t>
            </w:r>
          </w:p>
          <w:p w:rsidR="001F75E6" w:rsidRDefault="001F75E6" w:rsidP="001F75E6">
            <w:pPr>
              <w:spacing w:before="60" w:after="60"/>
              <w:rPr>
                <w:lang w:val="en-US"/>
              </w:rPr>
            </w:pPr>
            <w:r w:rsidRPr="003866B7">
              <w:rPr>
                <w:lang w:val="en-US"/>
              </w:rPr>
              <w:t>Leonardo Trame</w:t>
            </w:r>
          </w:p>
          <w:p w:rsidR="00150021" w:rsidRPr="009B1714" w:rsidRDefault="00150021" w:rsidP="00150021">
            <w:pPr>
              <w:rPr>
                <w:lang w:val="en-US"/>
              </w:rPr>
            </w:pPr>
            <w:r w:rsidRPr="009B1714">
              <w:rPr>
                <w:lang w:val="en-US"/>
              </w:rPr>
              <w:t>Blankenburger Str. 135</w:t>
            </w:r>
          </w:p>
          <w:p w:rsidR="00150021" w:rsidRPr="009B1714" w:rsidRDefault="00150021" w:rsidP="00150021">
            <w:pPr>
              <w:rPr>
                <w:lang w:val="en-US"/>
              </w:rPr>
            </w:pPr>
            <w:r w:rsidRPr="009B1714">
              <w:rPr>
                <w:lang w:val="en-US"/>
              </w:rPr>
              <w:t>13127 Berlin</w:t>
            </w:r>
          </w:p>
          <w:p w:rsidR="00150021" w:rsidRPr="009B1714" w:rsidRDefault="00150021" w:rsidP="00150021">
            <w:pPr>
              <w:jc w:val="both"/>
              <w:rPr>
                <w:lang w:val="en-US"/>
              </w:rPr>
            </w:pPr>
            <w:r w:rsidRPr="009B1714">
              <w:rPr>
                <w:lang w:val="en-US"/>
              </w:rPr>
              <w:t>Germany</w:t>
            </w:r>
          </w:p>
          <w:p w:rsidR="00150021" w:rsidRDefault="00150021" w:rsidP="00150021">
            <w:pPr>
              <w:spacing w:before="60"/>
              <w:rPr>
                <w:lang w:val="en-US"/>
              </w:rPr>
            </w:pPr>
            <w:r w:rsidRPr="009B1714">
              <w:rPr>
                <w:lang w:val="en-US"/>
              </w:rPr>
              <w:t>Phone: +49 . 30 . 478 008-0</w:t>
            </w:r>
          </w:p>
          <w:p w:rsidR="003B5757" w:rsidRPr="003866B7" w:rsidRDefault="003B5757" w:rsidP="003B5757">
            <w:pPr>
              <w:rPr>
                <w:lang w:val="en-US"/>
              </w:rPr>
            </w:pPr>
            <w:r w:rsidRPr="003866B7">
              <w:rPr>
                <w:lang w:val="en-US"/>
              </w:rPr>
              <w:t xml:space="preserve">Email: </w:t>
            </w:r>
            <w:hyperlink r:id="rId9" w:history="1">
              <w:r w:rsidRPr="003866B7">
                <w:rPr>
                  <w:rStyle w:val="Hyperlink"/>
                  <w:lang w:val="en-US"/>
                </w:rPr>
                <w:t>marketing@flukeprocessinstruments.de</w:t>
              </w:r>
            </w:hyperlink>
          </w:p>
          <w:p w:rsidR="00761C05" w:rsidRPr="009433A2" w:rsidRDefault="00150021" w:rsidP="001F75E6">
            <w:pPr>
              <w:jc w:val="both"/>
              <w:rPr>
                <w:sz w:val="18"/>
                <w:szCs w:val="18"/>
              </w:rPr>
            </w:pPr>
            <w:r w:rsidRPr="003B5757">
              <w:rPr>
                <w:lang w:val="fr-FR"/>
              </w:rPr>
              <w:t xml:space="preserve">Internet: </w:t>
            </w:r>
            <w:hyperlink r:id="rId10" w:history="1">
              <w:r w:rsidRPr="003B5757">
                <w:rPr>
                  <w:rStyle w:val="Hyperlink"/>
                  <w:lang w:val="fr-FR"/>
                </w:rPr>
                <w:t>www.flukeprocessinstruments.com</w:t>
              </w:r>
            </w:hyperlink>
          </w:p>
        </w:tc>
        <w:tc>
          <w:tcPr>
            <w:tcW w:w="2319" w:type="dxa"/>
            <w:shd w:val="clear" w:color="auto" w:fill="auto"/>
          </w:tcPr>
          <w:p w:rsidR="00761C05" w:rsidRPr="004A444E" w:rsidRDefault="00761C05" w:rsidP="004A444E">
            <w:pPr>
              <w:spacing w:before="240"/>
              <w:jc w:val="both"/>
              <w:rPr>
                <w:sz w:val="16"/>
              </w:rPr>
            </w:pPr>
            <w:r w:rsidRPr="004A444E">
              <w:rPr>
                <w:sz w:val="16"/>
              </w:rPr>
              <w:t>gii die Presse-Agentur GmbH</w:t>
            </w:r>
          </w:p>
          <w:p w:rsidR="00761C05" w:rsidRPr="004A444E" w:rsidRDefault="00761C05" w:rsidP="00E847A7">
            <w:pPr>
              <w:pStyle w:val="Textkrper"/>
              <w:rPr>
                <w:sz w:val="16"/>
                <w:lang w:val="en-US"/>
              </w:rPr>
            </w:pPr>
            <w:r w:rsidRPr="004A444E">
              <w:rPr>
                <w:sz w:val="16"/>
              </w:rPr>
              <w:t xml:space="preserve">Immanuelkirchstr. </w:t>
            </w:r>
            <w:r w:rsidRPr="004A444E">
              <w:rPr>
                <w:sz w:val="16"/>
                <w:lang w:val="en-US"/>
              </w:rPr>
              <w:t>12</w:t>
            </w:r>
          </w:p>
          <w:p w:rsidR="00761C05" w:rsidRPr="004A444E" w:rsidRDefault="00761C05" w:rsidP="004A444E">
            <w:pPr>
              <w:pStyle w:val="Textkrper"/>
              <w:jc w:val="both"/>
              <w:rPr>
                <w:sz w:val="16"/>
                <w:lang w:val="en-US"/>
              </w:rPr>
            </w:pPr>
            <w:r w:rsidRPr="004A444E">
              <w:rPr>
                <w:sz w:val="16"/>
                <w:lang w:val="en-US"/>
              </w:rPr>
              <w:t>10405 Berlin</w:t>
            </w:r>
          </w:p>
          <w:p w:rsidR="00761C05" w:rsidRPr="004A444E" w:rsidRDefault="00761C05" w:rsidP="004A444E">
            <w:pPr>
              <w:pStyle w:val="Textkrper"/>
              <w:jc w:val="both"/>
              <w:rPr>
                <w:sz w:val="16"/>
                <w:lang w:val="en-US"/>
              </w:rPr>
            </w:pPr>
            <w:r w:rsidRPr="004A444E">
              <w:rPr>
                <w:sz w:val="16"/>
                <w:lang w:val="en-US"/>
              </w:rPr>
              <w:t>Germany</w:t>
            </w:r>
          </w:p>
          <w:p w:rsidR="00761C05" w:rsidRPr="004A444E" w:rsidRDefault="00761C05" w:rsidP="004A444E">
            <w:pPr>
              <w:pStyle w:val="Textkrper"/>
              <w:jc w:val="both"/>
              <w:rPr>
                <w:sz w:val="16"/>
                <w:lang w:val="en-US"/>
              </w:rPr>
            </w:pPr>
            <w:r w:rsidRPr="004A444E">
              <w:rPr>
                <w:sz w:val="16"/>
                <w:lang w:val="en-US"/>
              </w:rPr>
              <w:t>Phone: +49 . 30 . 538 965-0</w:t>
            </w:r>
          </w:p>
          <w:p w:rsidR="00150021" w:rsidRPr="004A444E" w:rsidRDefault="00761C05" w:rsidP="004A444E">
            <w:pPr>
              <w:pStyle w:val="Textkrper"/>
              <w:jc w:val="both"/>
              <w:rPr>
                <w:sz w:val="16"/>
                <w:lang w:val="en-US"/>
              </w:rPr>
            </w:pPr>
            <w:r w:rsidRPr="004A444E">
              <w:rPr>
                <w:sz w:val="16"/>
                <w:lang w:val="en-US"/>
              </w:rPr>
              <w:t xml:space="preserve">Email: </w:t>
            </w:r>
            <w:hyperlink r:id="rId11" w:history="1">
              <w:r w:rsidR="00150021" w:rsidRPr="001715C4">
                <w:rPr>
                  <w:rStyle w:val="Hyperlink"/>
                  <w:sz w:val="16"/>
                  <w:lang w:val="en-US"/>
                </w:rPr>
                <w:t>info@gii.de</w:t>
              </w:r>
            </w:hyperlink>
          </w:p>
          <w:p w:rsidR="00150021" w:rsidRPr="004A444E" w:rsidRDefault="00761C05" w:rsidP="00150021">
            <w:pPr>
              <w:jc w:val="both"/>
              <w:rPr>
                <w:sz w:val="18"/>
              </w:rPr>
            </w:pPr>
            <w:r w:rsidRPr="004A444E">
              <w:rPr>
                <w:sz w:val="16"/>
                <w:lang w:val="en-US"/>
              </w:rPr>
              <w:t xml:space="preserve">Internet: </w:t>
            </w:r>
            <w:hyperlink r:id="rId12" w:history="1">
              <w:r w:rsidR="00150021" w:rsidRPr="001715C4">
                <w:rPr>
                  <w:rStyle w:val="Hyperlink"/>
                  <w:sz w:val="16"/>
                  <w:lang w:val="en-US"/>
                </w:rPr>
                <w:t>www.gii.de</w:t>
              </w:r>
            </w:hyperlink>
          </w:p>
        </w:tc>
      </w:tr>
    </w:tbl>
    <w:p w:rsidR="00761C05" w:rsidRPr="003866B7" w:rsidRDefault="00761C05" w:rsidP="00761C05">
      <w:pPr>
        <w:rPr>
          <w:rFonts w:cs="Arial"/>
          <w:lang w:val="en-US"/>
        </w:rPr>
      </w:pPr>
    </w:p>
    <w:sectPr w:rsidR="00761C05" w:rsidRPr="003866B7">
      <w:headerReference w:type="default" r:id="rId13"/>
      <w:footerReference w:type="default" r:id="rId14"/>
      <w:headerReference w:type="first" r:id="rId15"/>
      <w:footerReference w:type="first" r:id="rId16"/>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B54" w:rsidRDefault="00D33B54">
      <w:r>
        <w:separator/>
      </w:r>
    </w:p>
  </w:endnote>
  <w:endnote w:type="continuationSeparator" w:id="0">
    <w:p w:rsidR="00D33B54" w:rsidRDefault="00D3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664" w:rsidRPr="00007664" w:rsidRDefault="00007664" w:rsidP="00007664">
    <w:pPr>
      <w:pStyle w:val="Fuzeile"/>
      <w:tabs>
        <w:tab w:val="clear" w:pos="4536"/>
        <w:tab w:val="clear" w:pos="9072"/>
      </w:tabs>
      <w:rPr>
        <w:rFonts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664" w:rsidRPr="00007664" w:rsidRDefault="00007664" w:rsidP="00007664">
    <w:pPr>
      <w:pStyle w:val="Fuzeile"/>
      <w:tabs>
        <w:tab w:val="clear" w:pos="4536"/>
        <w:tab w:val="clear" w:pos="9072"/>
      </w:tabs>
      <w:rPr>
        <w:rFonts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B54" w:rsidRDefault="00D33B54">
      <w:r>
        <w:separator/>
      </w:r>
    </w:p>
  </w:footnote>
  <w:footnote w:type="continuationSeparator" w:id="0">
    <w:p w:rsidR="00D33B54" w:rsidRDefault="00D33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C88" w:rsidRPr="003A5A2F" w:rsidRDefault="00C97147" w:rsidP="009666B3">
    <w:pPr>
      <w:pStyle w:val="Kopfzeile"/>
      <w:tabs>
        <w:tab w:val="clear" w:pos="4536"/>
        <w:tab w:val="clear" w:pos="9072"/>
      </w:tabs>
      <w:ind w:left="709" w:hanging="709"/>
      <w:rPr>
        <w:rStyle w:val="Seitenzahl"/>
        <w:sz w:val="1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374.5pt;margin-top:-84.05pt;width:96.6pt;height:45.6pt;z-index:251658240;mso-position-horizontal-relative:margin;mso-position-vertical-relative:margin">
          <v:imagedata r:id="rId1" o:title="FPI_logo_____"/>
          <w10:wrap type="square" anchorx="margin" anchory="margin"/>
        </v:shape>
      </w:pict>
    </w:r>
    <w:r w:rsidR="009666B3">
      <w:rPr>
        <w:sz w:val="18"/>
        <w:lang w:val="en-US"/>
      </w:rPr>
      <w:t>Page</w:t>
    </w:r>
    <w:r w:rsidR="00040C88" w:rsidRPr="003A5A2F">
      <w:rPr>
        <w:sz w:val="18"/>
        <w:lang w:val="en-US"/>
      </w:rPr>
      <w:t xml:space="preserve"> </w:t>
    </w:r>
    <w:r w:rsidR="00040C88">
      <w:rPr>
        <w:rStyle w:val="Seitenzahl"/>
        <w:sz w:val="18"/>
      </w:rPr>
      <w:fldChar w:fldCharType="begin"/>
    </w:r>
    <w:r w:rsidR="00040C88" w:rsidRPr="003A5A2F">
      <w:rPr>
        <w:rStyle w:val="Seitenzahl"/>
        <w:sz w:val="18"/>
        <w:lang w:val="en-US"/>
      </w:rPr>
      <w:instrText xml:space="preserve"> PAGE </w:instrText>
    </w:r>
    <w:r w:rsidR="00040C88">
      <w:rPr>
        <w:rStyle w:val="Seitenzahl"/>
        <w:sz w:val="18"/>
      </w:rPr>
      <w:fldChar w:fldCharType="separate"/>
    </w:r>
    <w:r w:rsidR="000E3A62">
      <w:rPr>
        <w:rStyle w:val="Seitenzahl"/>
        <w:noProof/>
        <w:sz w:val="18"/>
        <w:lang w:val="en-US"/>
      </w:rPr>
      <w:t>2</w:t>
    </w:r>
    <w:r w:rsidR="00040C88">
      <w:rPr>
        <w:rStyle w:val="Seitenzahl"/>
        <w:sz w:val="18"/>
      </w:rPr>
      <w:fldChar w:fldCharType="end"/>
    </w:r>
    <w:r w:rsidR="009666B3">
      <w:rPr>
        <w:rStyle w:val="Seitenzahl"/>
        <w:sz w:val="18"/>
        <w:lang w:val="en-US"/>
      </w:rPr>
      <w:t>:</w:t>
    </w:r>
    <w:r w:rsidR="009666B3">
      <w:rPr>
        <w:rStyle w:val="Seitenzahl"/>
        <w:sz w:val="18"/>
        <w:lang w:val="en-US"/>
      </w:rPr>
      <w:tab/>
    </w:r>
    <w:r w:rsidR="00153DC9">
      <w:rPr>
        <w:rStyle w:val="Seitenzahl"/>
        <w:sz w:val="18"/>
        <w:lang w:val="en-US"/>
      </w:rPr>
      <w:t>ECHT Antwerp preview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664" w:rsidRPr="00007664" w:rsidRDefault="00C97147" w:rsidP="00007664">
    <w:pPr>
      <w:pStyle w:val="Kopfzeile"/>
      <w:tabs>
        <w:tab w:val="clear" w:pos="4536"/>
        <w:tab w:val="clear" w:pos="9072"/>
      </w:tabs>
      <w:rPr>
        <w:rFonts w:cs="Arial"/>
        <w:sz w:val="2"/>
        <w:szCs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74.1pt;margin-top:-84pt;width:96.6pt;height:45.6pt;z-index:251657216;mso-position-horizontal-relative:margin;mso-position-vertical-relative:margin">
          <v:imagedata r:id="rId1" o:title="FPI_logo_____"/>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750E"/>
    <w:rsid w:val="000018AC"/>
    <w:rsid w:val="00007664"/>
    <w:rsid w:val="0001750E"/>
    <w:rsid w:val="00017AE5"/>
    <w:rsid w:val="0003290D"/>
    <w:rsid w:val="00037DFC"/>
    <w:rsid w:val="00040C88"/>
    <w:rsid w:val="00053AAC"/>
    <w:rsid w:val="000553AD"/>
    <w:rsid w:val="00075A4D"/>
    <w:rsid w:val="000A7151"/>
    <w:rsid w:val="000D69D3"/>
    <w:rsid w:val="000E22FB"/>
    <w:rsid w:val="000E3A62"/>
    <w:rsid w:val="001025CD"/>
    <w:rsid w:val="0012509E"/>
    <w:rsid w:val="001365A3"/>
    <w:rsid w:val="00150021"/>
    <w:rsid w:val="00153718"/>
    <w:rsid w:val="00153DC9"/>
    <w:rsid w:val="001549E8"/>
    <w:rsid w:val="00162FF0"/>
    <w:rsid w:val="00175DAF"/>
    <w:rsid w:val="001F66DC"/>
    <w:rsid w:val="001F75E6"/>
    <w:rsid w:val="00214B1A"/>
    <w:rsid w:val="0023188A"/>
    <w:rsid w:val="0023294C"/>
    <w:rsid w:val="002432B8"/>
    <w:rsid w:val="00244497"/>
    <w:rsid w:val="00245D9A"/>
    <w:rsid w:val="0026287A"/>
    <w:rsid w:val="002756AC"/>
    <w:rsid w:val="00291153"/>
    <w:rsid w:val="002D31DE"/>
    <w:rsid w:val="002E584F"/>
    <w:rsid w:val="002F5CE1"/>
    <w:rsid w:val="0031283D"/>
    <w:rsid w:val="0032416A"/>
    <w:rsid w:val="0034707E"/>
    <w:rsid w:val="003504A6"/>
    <w:rsid w:val="00370B60"/>
    <w:rsid w:val="003866B7"/>
    <w:rsid w:val="00390636"/>
    <w:rsid w:val="003A5A2F"/>
    <w:rsid w:val="003B5757"/>
    <w:rsid w:val="003C5645"/>
    <w:rsid w:val="003E3390"/>
    <w:rsid w:val="003F165F"/>
    <w:rsid w:val="0040536F"/>
    <w:rsid w:val="00433144"/>
    <w:rsid w:val="00435098"/>
    <w:rsid w:val="00437EA5"/>
    <w:rsid w:val="0044244C"/>
    <w:rsid w:val="004828EB"/>
    <w:rsid w:val="004843A0"/>
    <w:rsid w:val="004A444E"/>
    <w:rsid w:val="004A77B5"/>
    <w:rsid w:val="00511D97"/>
    <w:rsid w:val="005229EE"/>
    <w:rsid w:val="005527A7"/>
    <w:rsid w:val="00576A45"/>
    <w:rsid w:val="00581EA6"/>
    <w:rsid w:val="005A19BF"/>
    <w:rsid w:val="005B1B5B"/>
    <w:rsid w:val="005C184F"/>
    <w:rsid w:val="005C4F26"/>
    <w:rsid w:val="00623087"/>
    <w:rsid w:val="00630C3F"/>
    <w:rsid w:val="00650F41"/>
    <w:rsid w:val="00666285"/>
    <w:rsid w:val="006849E4"/>
    <w:rsid w:val="006D7347"/>
    <w:rsid w:val="00712952"/>
    <w:rsid w:val="00761C05"/>
    <w:rsid w:val="00771698"/>
    <w:rsid w:val="00771C29"/>
    <w:rsid w:val="007723F9"/>
    <w:rsid w:val="007A464C"/>
    <w:rsid w:val="00841631"/>
    <w:rsid w:val="00852BC9"/>
    <w:rsid w:val="008659D9"/>
    <w:rsid w:val="00875B1E"/>
    <w:rsid w:val="008B7180"/>
    <w:rsid w:val="009433A2"/>
    <w:rsid w:val="00956F17"/>
    <w:rsid w:val="009666B3"/>
    <w:rsid w:val="00971439"/>
    <w:rsid w:val="00994442"/>
    <w:rsid w:val="009C5A68"/>
    <w:rsid w:val="009D568D"/>
    <w:rsid w:val="009E559D"/>
    <w:rsid w:val="00A20E8B"/>
    <w:rsid w:val="00A27B04"/>
    <w:rsid w:val="00A6517B"/>
    <w:rsid w:val="00A854FD"/>
    <w:rsid w:val="00AA212E"/>
    <w:rsid w:val="00AB6190"/>
    <w:rsid w:val="00AC402A"/>
    <w:rsid w:val="00B06B96"/>
    <w:rsid w:val="00B43D65"/>
    <w:rsid w:val="00B5560C"/>
    <w:rsid w:val="00B61FC6"/>
    <w:rsid w:val="00BE0DD0"/>
    <w:rsid w:val="00BF5610"/>
    <w:rsid w:val="00C0638D"/>
    <w:rsid w:val="00C24BDB"/>
    <w:rsid w:val="00C24C8F"/>
    <w:rsid w:val="00C32AA6"/>
    <w:rsid w:val="00C35421"/>
    <w:rsid w:val="00C97147"/>
    <w:rsid w:val="00CA6CA1"/>
    <w:rsid w:val="00CE53CF"/>
    <w:rsid w:val="00D14EF1"/>
    <w:rsid w:val="00D20506"/>
    <w:rsid w:val="00D238D6"/>
    <w:rsid w:val="00D33B54"/>
    <w:rsid w:val="00D40866"/>
    <w:rsid w:val="00D44AA1"/>
    <w:rsid w:val="00D56576"/>
    <w:rsid w:val="00D81613"/>
    <w:rsid w:val="00D93661"/>
    <w:rsid w:val="00DD05E8"/>
    <w:rsid w:val="00DF241C"/>
    <w:rsid w:val="00E00544"/>
    <w:rsid w:val="00E00A04"/>
    <w:rsid w:val="00E2029D"/>
    <w:rsid w:val="00E7325C"/>
    <w:rsid w:val="00E83782"/>
    <w:rsid w:val="00E90110"/>
    <w:rsid w:val="00EC38BD"/>
    <w:rsid w:val="00EE1264"/>
    <w:rsid w:val="00F201FB"/>
    <w:rsid w:val="00F25F74"/>
    <w:rsid w:val="00F30C35"/>
    <w:rsid w:val="00F55265"/>
    <w:rsid w:val="00F55C68"/>
    <w:rsid w:val="00F6013B"/>
    <w:rsid w:val="00F64BFF"/>
    <w:rsid w:val="00F94D05"/>
    <w:rsid w:val="00FA5B2E"/>
    <w:rsid w:val="00FC3995"/>
    <w:rsid w:val="00FC4451"/>
    <w:rsid w:val="00FC78C5"/>
    <w:rsid w:val="00FE2E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chartTrackingRefBased/>
  <w15:docId w15:val="{48F4F1A6-F449-49A0-BC97-7B625654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7180"/>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link w:val="berschrift2Zchn"/>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Pr>
      <w:sz w:val="24"/>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Sprechblasentext">
    <w:name w:val="Balloon Text"/>
    <w:basedOn w:val="Standard"/>
    <w:link w:val="SprechblasentextZchn"/>
    <w:uiPriority w:val="99"/>
    <w:semiHidden/>
    <w:unhideWhenUsed/>
    <w:rsid w:val="009C5A68"/>
    <w:rPr>
      <w:rFonts w:ascii="Tahoma" w:hAnsi="Tahoma" w:cs="Tahoma"/>
      <w:sz w:val="16"/>
      <w:szCs w:val="16"/>
    </w:rPr>
  </w:style>
  <w:style w:type="character" w:customStyle="1" w:styleId="SprechblasentextZchn">
    <w:name w:val="Sprechblasentext Zchn"/>
    <w:link w:val="Sprechblasentext"/>
    <w:uiPriority w:val="99"/>
    <w:semiHidden/>
    <w:rsid w:val="009C5A68"/>
    <w:rPr>
      <w:rFonts w:ascii="Tahoma" w:hAnsi="Tahoma" w:cs="Tahoma"/>
      <w:sz w:val="16"/>
      <w:szCs w:val="16"/>
    </w:rPr>
  </w:style>
  <w:style w:type="character" w:styleId="Kommentarzeichen">
    <w:name w:val="annotation reference"/>
    <w:uiPriority w:val="99"/>
    <w:semiHidden/>
    <w:unhideWhenUsed/>
    <w:rsid w:val="005229EE"/>
    <w:rPr>
      <w:sz w:val="16"/>
      <w:szCs w:val="16"/>
    </w:rPr>
  </w:style>
  <w:style w:type="paragraph" w:styleId="Kommentartext">
    <w:name w:val="annotation text"/>
    <w:basedOn w:val="Standard"/>
    <w:link w:val="KommentartextZchn"/>
    <w:uiPriority w:val="99"/>
    <w:semiHidden/>
    <w:unhideWhenUsed/>
    <w:rsid w:val="005229EE"/>
  </w:style>
  <w:style w:type="character" w:customStyle="1" w:styleId="KommentartextZchn">
    <w:name w:val="Kommentartext Zchn"/>
    <w:link w:val="Kommentartext"/>
    <w:uiPriority w:val="99"/>
    <w:semiHidden/>
    <w:rsid w:val="005229EE"/>
    <w:rPr>
      <w:rFonts w:ascii="Arial" w:hAnsi="Arial"/>
    </w:rPr>
  </w:style>
  <w:style w:type="paragraph" w:styleId="Kommentarthema">
    <w:name w:val="annotation subject"/>
    <w:basedOn w:val="Kommentartext"/>
    <w:next w:val="Kommentartext"/>
    <w:link w:val="KommentarthemaZchn"/>
    <w:uiPriority w:val="99"/>
    <w:semiHidden/>
    <w:unhideWhenUsed/>
    <w:rsid w:val="005229EE"/>
    <w:rPr>
      <w:b/>
      <w:bCs/>
    </w:rPr>
  </w:style>
  <w:style w:type="character" w:customStyle="1" w:styleId="KommentarthemaZchn">
    <w:name w:val="Kommentarthema Zchn"/>
    <w:link w:val="Kommentarthema"/>
    <w:uiPriority w:val="99"/>
    <w:semiHidden/>
    <w:rsid w:val="005229EE"/>
    <w:rPr>
      <w:rFonts w:ascii="Arial" w:hAnsi="Arial"/>
      <w:b/>
      <w:bCs/>
    </w:rPr>
  </w:style>
  <w:style w:type="character" w:customStyle="1" w:styleId="TextkrperZchn">
    <w:name w:val="Textkörper Zchn"/>
    <w:link w:val="Textkrper"/>
    <w:semiHidden/>
    <w:rsid w:val="002756AC"/>
    <w:rPr>
      <w:rFonts w:ascii="Arial" w:hAnsi="Arial"/>
      <w:sz w:val="24"/>
    </w:rPr>
  </w:style>
  <w:style w:type="character" w:customStyle="1" w:styleId="berschrift2Zchn">
    <w:name w:val="Überschrift 2 Zchn"/>
    <w:link w:val="berschrift2"/>
    <w:rsid w:val="00C32AA6"/>
    <w:rPr>
      <w:rFonts w:ascii="Arial" w:hAnsi="Arial"/>
      <w:b/>
      <w:sz w:val="32"/>
    </w:rPr>
  </w:style>
  <w:style w:type="character" w:customStyle="1" w:styleId="KopfzeileZchn">
    <w:name w:val="Kopfzeile Zchn"/>
    <w:link w:val="Kopfzeile"/>
    <w:semiHidden/>
    <w:rsid w:val="00C32AA6"/>
    <w:rPr>
      <w:rFonts w:ascii="Arial" w:hAnsi="Arial"/>
    </w:rPr>
  </w:style>
  <w:style w:type="character" w:styleId="Erwhnung">
    <w:name w:val="Mention"/>
    <w:uiPriority w:val="99"/>
    <w:semiHidden/>
    <w:unhideWhenUsed/>
    <w:rsid w:val="00C32AA6"/>
    <w:rPr>
      <w:color w:val="2B579A"/>
      <w:shd w:val="clear" w:color="auto" w:fill="E6E6E6"/>
    </w:rPr>
  </w:style>
  <w:style w:type="character" w:styleId="NichtaufgelsteErwhnung">
    <w:name w:val="Unresolved Mention"/>
    <w:uiPriority w:val="99"/>
    <w:semiHidden/>
    <w:unhideWhenUsed/>
    <w:rsid w:val="0040536F"/>
    <w:rPr>
      <w:color w:val="808080"/>
      <w:shd w:val="clear" w:color="auto" w:fill="E6E6E6"/>
    </w:rPr>
  </w:style>
  <w:style w:type="table" w:styleId="Tabellenraster">
    <w:name w:val="Table Grid"/>
    <w:basedOn w:val="NormaleTabelle"/>
    <w:uiPriority w:val="59"/>
    <w:rsid w:val="00E00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31035">
      <w:bodyDiv w:val="1"/>
      <w:marLeft w:val="0"/>
      <w:marRight w:val="0"/>
      <w:marTop w:val="0"/>
      <w:marBottom w:val="0"/>
      <w:divBdr>
        <w:top w:val="none" w:sz="0" w:space="0" w:color="auto"/>
        <w:left w:val="none" w:sz="0" w:space="0" w:color="auto"/>
        <w:bottom w:val="none" w:sz="0" w:space="0" w:color="auto"/>
        <w:right w:val="none" w:sz="0" w:space="0" w:color="auto"/>
      </w:divBdr>
    </w:div>
    <w:div w:id="245848920">
      <w:bodyDiv w:val="1"/>
      <w:marLeft w:val="0"/>
      <w:marRight w:val="0"/>
      <w:marTop w:val="0"/>
      <w:marBottom w:val="0"/>
      <w:divBdr>
        <w:top w:val="none" w:sz="0" w:space="0" w:color="auto"/>
        <w:left w:val="none" w:sz="0" w:space="0" w:color="auto"/>
        <w:bottom w:val="none" w:sz="0" w:space="0" w:color="auto"/>
        <w:right w:val="none" w:sz="0" w:space="0" w:color="auto"/>
      </w:divBdr>
    </w:div>
    <w:div w:id="1217084106">
      <w:bodyDiv w:val="1"/>
      <w:marLeft w:val="0"/>
      <w:marRight w:val="0"/>
      <w:marTop w:val="0"/>
      <w:marBottom w:val="0"/>
      <w:divBdr>
        <w:top w:val="none" w:sz="0" w:space="0" w:color="auto"/>
        <w:left w:val="none" w:sz="0" w:space="0" w:color="auto"/>
        <w:bottom w:val="none" w:sz="0" w:space="0" w:color="auto"/>
        <w:right w:val="none" w:sz="0" w:space="0" w:color="auto"/>
      </w:divBdr>
    </w:div>
    <w:div w:id="195254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i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ii.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lukeprocessinstruments.com" TargetMode="External"/><Relationship Id="rId4" Type="http://schemas.openxmlformats.org/officeDocument/2006/relationships/webSettings" Target="webSettings.xml"/><Relationship Id="rId9" Type="http://schemas.openxmlformats.org/officeDocument/2006/relationships/hyperlink" Target="mailto:marketing@flukeprocessinstruments.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2840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3284</CharactersWithSpaces>
  <SharedDoc>false</SharedDoc>
  <HLinks>
    <vt:vector size="6" baseType="variant">
      <vt:variant>
        <vt:i4>786508</vt:i4>
      </vt:variant>
      <vt:variant>
        <vt:i4>0</vt:i4>
      </vt:variant>
      <vt:variant>
        <vt:i4>0</vt:i4>
      </vt:variant>
      <vt:variant>
        <vt:i4>5</vt:i4>
      </vt:variant>
      <vt:variant>
        <vt:lpwstr>https://www.flukeprocessinstruments.com/en-us/products/legacy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21</cp:revision>
  <cp:lastPrinted>2015-07-29T06:35:00Z</cp:lastPrinted>
  <dcterms:created xsi:type="dcterms:W3CDTF">2019-01-24T12:18:00Z</dcterms:created>
  <dcterms:modified xsi:type="dcterms:W3CDTF">2020-02-12T13:57:00Z</dcterms:modified>
</cp:coreProperties>
</file>