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F81AA0" w:rsidRDefault="00D86305" w:rsidP="00370533">
      <w:pPr>
        <w:suppressAutoHyphens/>
        <w:rPr>
          <w:sz w:val="40"/>
          <w:szCs w:val="40"/>
          <w:lang w:val="en-US"/>
        </w:rPr>
      </w:pPr>
      <w:bookmarkStart w:id="0" w:name="_GoBack"/>
      <w:bookmarkEnd w:id="0"/>
      <w:r w:rsidRPr="00F81AA0">
        <w:rPr>
          <w:sz w:val="40"/>
          <w:szCs w:val="40"/>
          <w:lang w:val="en-US"/>
        </w:rPr>
        <w:t>Press</w:t>
      </w:r>
      <w:r w:rsidR="00F81AA0" w:rsidRPr="00F81AA0">
        <w:rPr>
          <w:sz w:val="40"/>
          <w:szCs w:val="40"/>
          <w:lang w:val="en-US"/>
        </w:rPr>
        <w:t xml:space="preserve"> Release</w:t>
      </w:r>
    </w:p>
    <w:p w:rsidR="00D86305" w:rsidRPr="00F81AA0" w:rsidRDefault="00D86305" w:rsidP="00370533">
      <w:pPr>
        <w:suppressAutoHyphens/>
        <w:spacing w:line="360" w:lineRule="auto"/>
        <w:ind w:right="-2"/>
        <w:rPr>
          <w:b/>
          <w:sz w:val="24"/>
          <w:lang w:val="en-US"/>
        </w:rPr>
      </w:pPr>
    </w:p>
    <w:p w:rsidR="00D86305" w:rsidRPr="00F81AA0" w:rsidRDefault="00CB7E62" w:rsidP="00370533">
      <w:pPr>
        <w:suppressAutoHyphens/>
        <w:spacing w:line="360" w:lineRule="auto"/>
        <w:ind w:right="-2"/>
        <w:rPr>
          <w:b/>
          <w:sz w:val="24"/>
          <w:lang w:val="en-US"/>
        </w:rPr>
      </w:pPr>
      <w:r>
        <w:rPr>
          <w:b/>
          <w:bCs/>
          <w:sz w:val="24"/>
          <w:lang w:val="en-US"/>
        </w:rPr>
        <w:t>MIPI camera boards with largest sensor variety</w:t>
      </w:r>
    </w:p>
    <w:p w:rsidR="00D86305" w:rsidRPr="00F81AA0" w:rsidRDefault="00D86305" w:rsidP="00370533">
      <w:pPr>
        <w:suppressAutoHyphens/>
        <w:spacing w:line="360" w:lineRule="auto"/>
        <w:ind w:right="-2"/>
        <w:rPr>
          <w:lang w:val="en-US"/>
        </w:rPr>
      </w:pPr>
    </w:p>
    <w:p w:rsidR="00D86305" w:rsidRPr="00F81AA0" w:rsidRDefault="00CB7E62" w:rsidP="00370533">
      <w:pPr>
        <w:suppressAutoHyphens/>
        <w:spacing w:line="360" w:lineRule="auto"/>
        <w:jc w:val="both"/>
        <w:rPr>
          <w:lang w:val="en-US"/>
        </w:rPr>
      </w:pPr>
      <w:r>
        <w:rPr>
          <w:lang w:val="en-US"/>
        </w:rPr>
        <w:t>Vision Components adapts the widest range of machine vision image sensors on MIPI camera modules and is the first manufacturer to also integrate non-native MIPI sensors such as Sony Pregius IMX250 and IMX252. The portfolio currently comprises 10 sensors with resolutions up to 20 MP and is being continuously expanded. It includes global shutter, rolling shutter, and global reset shutter versions. The latter offer significant price advantages over global shutter variants with roughly the same functionality. The compact, only 23.5 mm wide VC MIPI boards feature a 22-pin MIPI CSI-2 port for FPC (flexible printed circuit) cables. They are compatible to over 20 CPU boards including NVIDIA Jetson, DragonBoard, all Raspberry Pi boards, and all 96boards. Vision Components has developed proprietary shielded FPC cables that ensure robust data transfer and support the full bandwidth of the MIPI standard. The cables with two or four transmission lanes can be connected to 15 and 22-pin MIPI ports. Depending on the processor, this allows communication at twice the maximum speed of USB3 cameras.</w:t>
      </w:r>
    </w:p>
    <w:p w:rsidR="00552FEA" w:rsidRPr="00CB7E62" w:rsidRDefault="00552FEA" w:rsidP="00552FEA">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552FEA" w:rsidTr="009A364A">
        <w:tc>
          <w:tcPr>
            <w:tcW w:w="7226" w:type="dxa"/>
          </w:tcPr>
          <w:p w:rsidR="00552FEA" w:rsidRDefault="00433316" w:rsidP="009A364A">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83pt">
                  <v:imagedata r:id="rId8" o:title="vc_mipi_scale_1000px"/>
                </v:shape>
              </w:pict>
            </w:r>
          </w:p>
        </w:tc>
      </w:tr>
      <w:tr w:rsidR="00552FEA" w:rsidRPr="003625CB" w:rsidTr="009A364A">
        <w:tc>
          <w:tcPr>
            <w:tcW w:w="7226" w:type="dxa"/>
          </w:tcPr>
          <w:p w:rsidR="00552FEA" w:rsidRPr="00CB7E62" w:rsidRDefault="00CB7E62" w:rsidP="009A364A">
            <w:pPr>
              <w:suppressAutoHyphens/>
              <w:jc w:val="center"/>
              <w:rPr>
                <w:sz w:val="18"/>
                <w:lang w:val="en-US"/>
              </w:rPr>
            </w:pPr>
            <w:r>
              <w:rPr>
                <w:b/>
                <w:bCs/>
                <w:sz w:val="18"/>
                <w:lang w:val="en-US"/>
              </w:rPr>
              <w:t>Caption:</w:t>
            </w:r>
            <w:r>
              <w:rPr>
                <w:sz w:val="18"/>
                <w:szCs w:val="18"/>
                <w:lang w:val="en-US"/>
              </w:rPr>
              <w:t xml:space="preserve"> Vision Components manufactures MIPI camera modules with various camera sensors, even non-native ones</w:t>
            </w:r>
          </w:p>
        </w:tc>
      </w:tr>
    </w:tbl>
    <w:p w:rsidR="00552FEA" w:rsidRPr="00CB7E62" w:rsidRDefault="00552FEA" w:rsidP="00552FEA">
      <w:pPr>
        <w:suppressAutoHyphens/>
        <w:spacing w:line="360" w:lineRule="auto"/>
        <w:jc w:val="both"/>
        <w:rPr>
          <w:lang w:val="en-US"/>
        </w:rPr>
      </w:pPr>
    </w:p>
    <w:p w:rsidR="00552FEA" w:rsidRPr="00CB7E62" w:rsidRDefault="00CB7E62" w:rsidP="00552FEA">
      <w:pPr>
        <w:suppressAutoHyphens/>
        <w:spacing w:line="360" w:lineRule="auto"/>
        <w:jc w:val="both"/>
        <w:rPr>
          <w:lang w:val="en-US"/>
        </w:rPr>
      </w:pPr>
      <w:r>
        <w:rPr>
          <w:lang w:val="en-US"/>
        </w:rPr>
        <w:t xml:space="preserve">The MIPI standard supports relatively short transfer distances. Vision Components has developed repeaters for its 200 mm cables that can amplify the signal up to five times. This allows transmission paths to be extended to more than 1 m without compromising speed or signal quality. The repeater board also features a trigger interface (image trigger input/flash trigger output) and thereby augments CPU boards lacking these particular interfaces. The VC </w:t>
      </w:r>
      <w:r>
        <w:rPr>
          <w:lang w:val="en-US"/>
        </w:rPr>
        <w:lastRenderedPageBreak/>
        <w:t>MIPI range furthermore includes lens holders, filter discs, adapter boards, as well as custom carrier boards and interface extensions. In addition, the manufacturer has already developed stable drivers for the most common hardware combinations and is steadily continuing this work to connect additional boards. Vision Components provides these drivers to its customers free of charge.</w:t>
      </w:r>
    </w:p>
    <w:p w:rsidR="00552FEA" w:rsidRDefault="00CB7E62" w:rsidP="00552FEA">
      <w:pPr>
        <w:suppressAutoHyphens/>
        <w:spacing w:line="360" w:lineRule="auto"/>
        <w:jc w:val="both"/>
        <w:rPr>
          <w:lang w:val="en-US"/>
        </w:rPr>
      </w:pPr>
      <w:r w:rsidRPr="008A3872">
        <w:rPr>
          <w:lang w:val="en-US"/>
        </w:rPr>
        <w:t xml:space="preserve">More about MIPI: </w:t>
      </w:r>
      <w:hyperlink r:id="rId9" w:history="1">
        <w:r w:rsidRPr="008E6466">
          <w:rPr>
            <w:rStyle w:val="Hyperlink"/>
            <w:lang w:val="en-US"/>
          </w:rPr>
          <w:t>www.mipi-modules.com</w:t>
        </w:r>
      </w:hyperlink>
    </w:p>
    <w:p w:rsidR="00CB7E62" w:rsidRPr="00CB7E62" w:rsidRDefault="00CB7E62" w:rsidP="00552FEA">
      <w:pPr>
        <w:suppressAutoHyphens/>
        <w:spacing w:line="360" w:lineRule="auto"/>
        <w:jc w:val="both"/>
        <w:rPr>
          <w:lang w:val="en-US"/>
        </w:rPr>
      </w:pPr>
    </w:p>
    <w:p w:rsidR="00552FEA" w:rsidRPr="00CB7E62" w:rsidRDefault="00552FEA" w:rsidP="00552FEA">
      <w:pPr>
        <w:suppressAutoHyphens/>
        <w:spacing w:line="360" w:lineRule="auto"/>
        <w:jc w:val="both"/>
        <w:rPr>
          <w:lang w:val="en-US"/>
        </w:rPr>
      </w:pPr>
    </w:p>
    <w:p w:rsidR="00552FEA" w:rsidRDefault="00552FEA" w:rsidP="00552FEA">
      <w:pPr>
        <w:suppressAutoHyphens/>
        <w:spacing w:line="360" w:lineRule="auto"/>
        <w:jc w:val="both"/>
        <w:rPr>
          <w:lang w:val="en-US"/>
        </w:rPr>
      </w:pPr>
    </w:p>
    <w:p w:rsidR="00CB7E62" w:rsidRDefault="00CB7E62" w:rsidP="00552FEA">
      <w:pPr>
        <w:suppressAutoHyphens/>
        <w:spacing w:line="360" w:lineRule="auto"/>
        <w:jc w:val="both"/>
        <w:rPr>
          <w:lang w:val="en-US"/>
        </w:rPr>
      </w:pPr>
    </w:p>
    <w:p w:rsidR="00CB7E62" w:rsidRPr="00CB7E62" w:rsidRDefault="00CB7E62" w:rsidP="00552FEA">
      <w:pPr>
        <w:suppressAutoHyphens/>
        <w:spacing w:line="360" w:lineRule="auto"/>
        <w:jc w:val="both"/>
        <w:rPr>
          <w:lang w:val="en-US"/>
        </w:rPr>
      </w:pPr>
    </w:p>
    <w:p w:rsidR="003625CB" w:rsidRPr="00CB7E62" w:rsidRDefault="003625CB" w:rsidP="00552FEA">
      <w:pPr>
        <w:suppressAutoHyphens/>
        <w:spacing w:line="360" w:lineRule="auto"/>
        <w:jc w:val="both"/>
        <w:rPr>
          <w:lang w:val="en-US"/>
        </w:rPr>
      </w:pPr>
    </w:p>
    <w:p w:rsidR="00552FEA" w:rsidRPr="00CB7E62" w:rsidRDefault="00552FEA" w:rsidP="00552FEA">
      <w:pPr>
        <w:suppressAutoHyphens/>
        <w:spacing w:line="360" w:lineRule="auto"/>
        <w:jc w:val="both"/>
        <w:rPr>
          <w:lang w:val="en-US"/>
        </w:rPr>
      </w:pPr>
    </w:p>
    <w:p w:rsidR="0055563A" w:rsidRDefault="0055563A" w:rsidP="00370533">
      <w:pPr>
        <w:suppressAutoHyphens/>
        <w:spacing w:line="360" w:lineRule="auto"/>
        <w:jc w:val="both"/>
        <w:rPr>
          <w:lang w:val="en-US"/>
        </w:rPr>
      </w:pPr>
    </w:p>
    <w:p w:rsidR="0055563A" w:rsidRDefault="0055563A" w:rsidP="00370533">
      <w:pPr>
        <w:suppressAutoHyphens/>
        <w:spacing w:line="360" w:lineRule="auto"/>
        <w:jc w:val="both"/>
        <w:rPr>
          <w:lang w:val="en-US"/>
        </w:rPr>
      </w:pPr>
    </w:p>
    <w:p w:rsidR="00CB7E62" w:rsidRDefault="00CB7E62" w:rsidP="00370533">
      <w:pPr>
        <w:suppressAutoHyphens/>
        <w:spacing w:line="360" w:lineRule="auto"/>
        <w:jc w:val="both"/>
        <w:rPr>
          <w:lang w:val="en-US"/>
        </w:rPr>
      </w:pPr>
    </w:p>
    <w:p w:rsidR="00CB7E62" w:rsidRDefault="00CB7E62" w:rsidP="00370533">
      <w:pPr>
        <w:suppressAutoHyphens/>
        <w:spacing w:line="360" w:lineRule="auto"/>
        <w:jc w:val="both"/>
        <w:rPr>
          <w:lang w:val="en-US"/>
        </w:rPr>
      </w:pPr>
    </w:p>
    <w:p w:rsidR="0055563A" w:rsidRDefault="0055563A" w:rsidP="00370533">
      <w:pPr>
        <w:suppressAutoHyphens/>
        <w:spacing w:line="360" w:lineRule="auto"/>
        <w:jc w:val="both"/>
        <w:rPr>
          <w:lang w:val="en-US"/>
        </w:rPr>
      </w:pPr>
    </w:p>
    <w:p w:rsidR="0055563A" w:rsidRPr="00A51497" w:rsidRDefault="0055563A" w:rsidP="00A51497">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7"/>
        <w:gridCol w:w="3527"/>
        <w:gridCol w:w="1424"/>
        <w:gridCol w:w="1174"/>
      </w:tblGrid>
      <w:tr w:rsidR="00A51497" w:rsidTr="00E7056E">
        <w:tc>
          <w:tcPr>
            <w:tcW w:w="1177" w:type="dxa"/>
            <w:vAlign w:val="bottom"/>
          </w:tcPr>
          <w:p w:rsidR="00A51497" w:rsidRDefault="00900836" w:rsidP="00A51497">
            <w:pPr>
              <w:suppressAutoHyphens/>
              <w:rPr>
                <w:sz w:val="18"/>
                <w:szCs w:val="18"/>
                <w:lang w:val="en-US"/>
              </w:rPr>
            </w:pPr>
            <w:r>
              <w:rPr>
                <w:sz w:val="18"/>
                <w:szCs w:val="18"/>
                <w:lang w:val="en-US"/>
              </w:rPr>
              <w:t>Image/</w:t>
            </w:r>
            <w:r w:rsidR="00A51497" w:rsidRPr="00F81AA0">
              <w:rPr>
                <w:sz w:val="18"/>
                <w:szCs w:val="18"/>
                <w:lang w:val="en-US"/>
              </w:rPr>
              <w:t>s:</w:t>
            </w:r>
          </w:p>
        </w:tc>
        <w:tc>
          <w:tcPr>
            <w:tcW w:w="3527" w:type="dxa"/>
            <w:vAlign w:val="bottom"/>
          </w:tcPr>
          <w:p w:rsidR="00A51497" w:rsidRDefault="00797034" w:rsidP="00A51497">
            <w:pPr>
              <w:suppressAutoHyphens/>
              <w:rPr>
                <w:sz w:val="18"/>
                <w:szCs w:val="18"/>
                <w:lang w:val="en-US"/>
              </w:rPr>
            </w:pPr>
            <w:r w:rsidRPr="00CE2DA6">
              <w:rPr>
                <w:sz w:val="18"/>
                <w:szCs w:val="18"/>
                <w:lang w:val="en-US"/>
              </w:rPr>
              <w:t>vc_mipi_scale</w:t>
            </w:r>
          </w:p>
        </w:tc>
        <w:tc>
          <w:tcPr>
            <w:tcW w:w="1424" w:type="dxa"/>
            <w:vAlign w:val="bottom"/>
          </w:tcPr>
          <w:p w:rsidR="00A51497" w:rsidRDefault="00A51497" w:rsidP="00A51497">
            <w:pPr>
              <w:suppressAutoHyphens/>
              <w:rPr>
                <w:sz w:val="18"/>
                <w:szCs w:val="18"/>
                <w:lang w:val="en-US"/>
              </w:rPr>
            </w:pPr>
            <w:r w:rsidRPr="00F81AA0">
              <w:rPr>
                <w:sz w:val="18"/>
                <w:szCs w:val="18"/>
                <w:lang w:val="en-US"/>
              </w:rPr>
              <w:t>Char</w:t>
            </w:r>
            <w:r>
              <w:rPr>
                <w:sz w:val="18"/>
                <w:szCs w:val="18"/>
                <w:lang w:val="en-US"/>
              </w:rPr>
              <w:t>acters</w:t>
            </w:r>
            <w:r w:rsidRPr="00F81AA0">
              <w:rPr>
                <w:sz w:val="18"/>
                <w:szCs w:val="18"/>
                <w:lang w:val="en-US"/>
              </w:rPr>
              <w:t>:</w:t>
            </w:r>
          </w:p>
        </w:tc>
        <w:tc>
          <w:tcPr>
            <w:tcW w:w="1174" w:type="dxa"/>
            <w:vAlign w:val="bottom"/>
          </w:tcPr>
          <w:p w:rsidR="00A51497" w:rsidRDefault="003625CB" w:rsidP="00A51497">
            <w:pPr>
              <w:suppressAutoHyphens/>
              <w:jc w:val="right"/>
              <w:rPr>
                <w:sz w:val="18"/>
                <w:szCs w:val="18"/>
                <w:lang w:val="en-US"/>
              </w:rPr>
            </w:pPr>
            <w:r>
              <w:rPr>
                <w:sz w:val="18"/>
                <w:szCs w:val="18"/>
                <w:lang w:val="en-US"/>
              </w:rPr>
              <w:t>1935</w:t>
            </w:r>
          </w:p>
        </w:tc>
      </w:tr>
      <w:tr w:rsidR="00A51497" w:rsidTr="00E7056E">
        <w:tc>
          <w:tcPr>
            <w:tcW w:w="1177" w:type="dxa"/>
            <w:vAlign w:val="bottom"/>
          </w:tcPr>
          <w:p w:rsidR="00A51497" w:rsidRDefault="00A51497" w:rsidP="00A51497">
            <w:pPr>
              <w:suppressAutoHyphens/>
              <w:spacing w:before="120"/>
              <w:rPr>
                <w:sz w:val="18"/>
                <w:szCs w:val="18"/>
                <w:lang w:val="en-US"/>
              </w:rPr>
            </w:pPr>
            <w:r w:rsidRPr="00F81AA0">
              <w:rPr>
                <w:sz w:val="18"/>
                <w:szCs w:val="18"/>
                <w:lang w:val="en-US"/>
              </w:rPr>
              <w:t>File name:</w:t>
            </w:r>
          </w:p>
        </w:tc>
        <w:tc>
          <w:tcPr>
            <w:tcW w:w="3527" w:type="dxa"/>
            <w:vAlign w:val="bottom"/>
          </w:tcPr>
          <w:p w:rsidR="00A51497" w:rsidRPr="00A51497" w:rsidRDefault="00281E8C" w:rsidP="00A51497">
            <w:pPr>
              <w:suppressAutoHyphens/>
              <w:spacing w:before="120"/>
              <w:rPr>
                <w:sz w:val="18"/>
                <w:szCs w:val="18"/>
                <w:lang w:val="en-US"/>
              </w:rPr>
            </w:pPr>
            <w:r w:rsidRPr="00281E8C">
              <w:rPr>
                <w:sz w:val="18"/>
                <w:szCs w:val="18"/>
              </w:rPr>
              <w:t>202002012</w:t>
            </w:r>
            <w:r w:rsidRPr="00B50C8D">
              <w:rPr>
                <w:sz w:val="18"/>
                <w:szCs w:val="18"/>
              </w:rPr>
              <w:t>_pm_mipi</w:t>
            </w:r>
            <w:r>
              <w:rPr>
                <w:sz w:val="18"/>
                <w:szCs w:val="18"/>
              </w:rPr>
              <w:t>_</w:t>
            </w:r>
            <w:r w:rsidRPr="00B50C8D">
              <w:rPr>
                <w:sz w:val="18"/>
                <w:szCs w:val="18"/>
              </w:rPr>
              <w:t>program</w:t>
            </w:r>
            <w:r>
              <w:rPr>
                <w:sz w:val="18"/>
                <w:szCs w:val="18"/>
              </w:rPr>
              <w:t>_en</w:t>
            </w:r>
          </w:p>
        </w:tc>
        <w:tc>
          <w:tcPr>
            <w:tcW w:w="1424" w:type="dxa"/>
            <w:vAlign w:val="bottom"/>
          </w:tcPr>
          <w:p w:rsidR="00A51497" w:rsidRDefault="00A51497" w:rsidP="00A51497">
            <w:pPr>
              <w:suppressAutoHyphens/>
              <w:spacing w:before="120"/>
              <w:rPr>
                <w:sz w:val="18"/>
                <w:szCs w:val="18"/>
                <w:lang w:val="en-US"/>
              </w:rPr>
            </w:pPr>
            <w:r w:rsidRPr="00F81AA0">
              <w:rPr>
                <w:sz w:val="18"/>
                <w:szCs w:val="18"/>
                <w:lang w:val="en-US"/>
              </w:rPr>
              <w:t>Date:</w:t>
            </w:r>
          </w:p>
        </w:tc>
        <w:tc>
          <w:tcPr>
            <w:tcW w:w="1174" w:type="dxa"/>
            <w:vAlign w:val="bottom"/>
          </w:tcPr>
          <w:p w:rsidR="00A51497" w:rsidRDefault="00433316" w:rsidP="00A51497">
            <w:pPr>
              <w:suppressAutoHyphens/>
              <w:spacing w:before="120"/>
              <w:jc w:val="right"/>
              <w:rPr>
                <w:sz w:val="18"/>
                <w:szCs w:val="18"/>
                <w:lang w:val="en-US"/>
              </w:rPr>
            </w:pPr>
            <w:r>
              <w:rPr>
                <w:sz w:val="18"/>
                <w:szCs w:val="18"/>
                <w:lang w:val="en-US"/>
              </w:rPr>
              <w:t>02-26-2020</w:t>
            </w:r>
          </w:p>
        </w:tc>
      </w:tr>
    </w:tbl>
    <w:p w:rsidR="001F3537" w:rsidRPr="00F81AA0" w:rsidRDefault="00F81AA0" w:rsidP="00370533">
      <w:pPr>
        <w:suppressAutoHyphens/>
        <w:spacing w:before="120" w:after="120"/>
        <w:rPr>
          <w:b/>
          <w:sz w:val="16"/>
          <w:lang w:val="en-US"/>
        </w:rPr>
      </w:pPr>
      <w:r w:rsidRPr="00F81AA0">
        <w:rPr>
          <w:b/>
          <w:sz w:val="16"/>
          <w:lang w:val="en-US"/>
        </w:rPr>
        <w:t>About</w:t>
      </w:r>
      <w:r w:rsidR="00E51515" w:rsidRPr="00F81AA0">
        <w:rPr>
          <w:b/>
          <w:sz w:val="16"/>
          <w:lang w:val="en-US"/>
        </w:rPr>
        <w:t xml:space="preserve"> Vision Components</w:t>
      </w:r>
    </w:p>
    <w:p w:rsidR="00E51515" w:rsidRPr="00F81AA0" w:rsidRDefault="00F81AA0" w:rsidP="00E51515">
      <w:pPr>
        <w:pStyle w:val="Textkrper2"/>
        <w:suppressAutoHyphens/>
        <w:rPr>
          <w:lang w:val="en-US"/>
        </w:rPr>
      </w:pPr>
      <w:r w:rsidRPr="00F81AA0">
        <w:rPr>
          <w:lang w:val="en-US"/>
        </w:rPr>
        <w:t>Vision Components is a leading international manufacturer of embedded vision systems. The freely programmable cameras with powerful onboard CPUs perform image processing tasks on their own without the need for an additional computer. Vision Components offers OEMs versatile Linux-based embedded systems for 2D and 3D image processing, supplied as board cameras or in protective casings. These are complemented by a growing range of ultracompact MIPI camera boards, which connect to a variety of different CPU boards. In addition, Vision Components offers software libraries and develops customized solutions on request. The team of experts can draw on extensive knowledge and over 20 years of experience with imaging applications. The company based in Ettlingen in southwestern Germany was founded in 1996 by Michael Engel, the inventor of the first industrial-grade intelligent camera. More world premieres followed, including the world's first intelligent vision sensors and the first-ever embedded 3D laser profiler. Today, Vision Components has sales offices in the United States and Japan and works with local partners in over 25 countries to provide consistent customer focus and readily available expertise throughout the world.</w:t>
      </w:r>
    </w:p>
    <w:p w:rsidR="00E51515" w:rsidRPr="00F81AA0" w:rsidRDefault="00E51515" w:rsidP="00E51515">
      <w:pPr>
        <w:pBdr>
          <w:between w:val="single" w:sz="4" w:space="1" w:color="auto"/>
        </w:pBdr>
        <w:suppressAutoHyphens/>
        <w:jc w:val="both"/>
        <w:rPr>
          <w:sz w:val="16"/>
          <w:lang w:val="en-US"/>
        </w:rPr>
      </w:pPr>
    </w:p>
    <w:p w:rsidR="00E51515" w:rsidRDefault="00E51515" w:rsidP="00E51515">
      <w:pPr>
        <w:pStyle w:val="Textkrper"/>
        <w:pBdr>
          <w:between w:val="single" w:sz="4" w:space="1" w:color="auto"/>
        </w:pBdr>
        <w:suppressAutoHyphens/>
        <w:jc w:val="both"/>
        <w:rPr>
          <w:sz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4"/>
        <w:gridCol w:w="2598"/>
      </w:tblGrid>
      <w:tr w:rsidR="00A51497" w:rsidTr="0001650E">
        <w:tc>
          <w:tcPr>
            <w:tcW w:w="4704" w:type="dxa"/>
          </w:tcPr>
          <w:p w:rsidR="00A51497" w:rsidRPr="00F81AA0" w:rsidRDefault="00A51497" w:rsidP="0001650E">
            <w:pPr>
              <w:suppressAutoHyphens/>
              <w:rPr>
                <w:b/>
                <w:lang w:val="en-US"/>
              </w:rPr>
            </w:pPr>
            <w:r w:rsidRPr="00F81AA0">
              <w:rPr>
                <w:b/>
                <w:lang w:val="en-US"/>
              </w:rPr>
              <w:t>Contact:</w:t>
            </w:r>
          </w:p>
          <w:p w:rsidR="00A51497" w:rsidRPr="00F81AA0" w:rsidRDefault="00A51497" w:rsidP="0001650E">
            <w:pPr>
              <w:pStyle w:val="berschrift2"/>
              <w:suppressAutoHyphens/>
              <w:ind w:right="-70"/>
              <w:jc w:val="left"/>
              <w:rPr>
                <w:sz w:val="20"/>
                <w:lang w:val="en-US"/>
              </w:rPr>
            </w:pPr>
            <w:r w:rsidRPr="00F81AA0">
              <w:rPr>
                <w:sz w:val="20"/>
                <w:lang w:val="en-US"/>
              </w:rPr>
              <w:t>Vision Components GmbH</w:t>
            </w:r>
          </w:p>
          <w:p w:rsidR="00A51497" w:rsidRPr="00F81AA0" w:rsidRDefault="00A51497" w:rsidP="0001650E">
            <w:pPr>
              <w:pStyle w:val="Kopfzeile"/>
              <w:tabs>
                <w:tab w:val="clear" w:pos="4536"/>
                <w:tab w:val="clear" w:pos="9072"/>
              </w:tabs>
              <w:suppressAutoHyphens/>
              <w:spacing w:before="120" w:after="120"/>
              <w:rPr>
                <w:lang w:val="en-US"/>
              </w:rPr>
            </w:pPr>
            <w:r w:rsidRPr="00F81AA0">
              <w:rPr>
                <w:lang w:val="en-US"/>
              </w:rPr>
              <w:t>Miriam Schreiber</w:t>
            </w:r>
          </w:p>
          <w:p w:rsidR="00A51497" w:rsidRPr="00F81AA0" w:rsidRDefault="00A51497" w:rsidP="0001650E">
            <w:pPr>
              <w:suppressAutoHyphens/>
              <w:rPr>
                <w:lang w:val="en-US"/>
              </w:rPr>
            </w:pPr>
            <w:r w:rsidRPr="00F81AA0">
              <w:rPr>
                <w:lang w:val="en-US"/>
              </w:rPr>
              <w:t>Ottostr. 2</w:t>
            </w:r>
          </w:p>
          <w:p w:rsidR="00A51497" w:rsidRPr="00F81AA0" w:rsidRDefault="00A51497" w:rsidP="0001650E">
            <w:pPr>
              <w:suppressAutoHyphens/>
              <w:rPr>
                <w:lang w:val="en-US"/>
              </w:rPr>
            </w:pPr>
            <w:r w:rsidRPr="00F81AA0">
              <w:rPr>
                <w:lang w:val="en-US"/>
              </w:rPr>
              <w:t>76275 Ettlingen</w:t>
            </w:r>
          </w:p>
          <w:p w:rsidR="00A51497" w:rsidRPr="00F81AA0" w:rsidRDefault="00A51497" w:rsidP="0001650E">
            <w:pPr>
              <w:suppressAutoHyphens/>
              <w:rPr>
                <w:lang w:val="en-US"/>
              </w:rPr>
            </w:pPr>
            <w:r w:rsidRPr="00F81AA0">
              <w:rPr>
                <w:lang w:val="en-US"/>
              </w:rPr>
              <w:t>Germany</w:t>
            </w:r>
          </w:p>
          <w:p w:rsidR="00A51497" w:rsidRPr="00F81AA0" w:rsidRDefault="00A51497" w:rsidP="0001650E">
            <w:pPr>
              <w:suppressAutoHyphens/>
              <w:spacing w:before="120"/>
              <w:rPr>
                <w:lang w:val="en-US"/>
              </w:rPr>
            </w:pPr>
            <w:r w:rsidRPr="00F81AA0">
              <w:rPr>
                <w:lang w:val="en-US"/>
              </w:rPr>
              <w:t>Phone: +49 . 7243 . 216 716</w:t>
            </w:r>
          </w:p>
          <w:p w:rsidR="00A51497" w:rsidRPr="0055563A" w:rsidRDefault="00A51497" w:rsidP="0001650E">
            <w:pPr>
              <w:suppressAutoHyphens/>
              <w:rPr>
                <w:lang w:val="en-US"/>
              </w:rPr>
            </w:pPr>
            <w:r w:rsidRPr="0055563A">
              <w:rPr>
                <w:lang w:val="en-US"/>
              </w:rPr>
              <w:t>Email: miriam.schreiber@vision-components.com</w:t>
            </w:r>
          </w:p>
          <w:p w:rsidR="00A51497" w:rsidRDefault="00A51497" w:rsidP="0001650E">
            <w:pPr>
              <w:suppressAutoHyphens/>
              <w:rPr>
                <w:sz w:val="18"/>
                <w:szCs w:val="18"/>
                <w:lang w:val="en-US"/>
              </w:rPr>
            </w:pPr>
            <w:r w:rsidRPr="00F81AA0">
              <w:rPr>
                <w:lang w:val="fr-FR"/>
              </w:rPr>
              <w:t>Internet: www.vision-components.com</w:t>
            </w:r>
          </w:p>
        </w:tc>
        <w:tc>
          <w:tcPr>
            <w:tcW w:w="2598" w:type="dxa"/>
          </w:tcPr>
          <w:p w:rsidR="00A51497" w:rsidRPr="00F81AA0" w:rsidRDefault="00A51497" w:rsidP="0001650E">
            <w:pPr>
              <w:suppressAutoHyphens/>
              <w:spacing w:before="240"/>
              <w:rPr>
                <w:sz w:val="16"/>
              </w:rPr>
            </w:pPr>
            <w:r w:rsidRPr="00F81AA0">
              <w:rPr>
                <w:sz w:val="16"/>
              </w:rPr>
              <w:t>gii die Presse-Agentur GmbH</w:t>
            </w:r>
          </w:p>
          <w:p w:rsidR="00A51497" w:rsidRPr="00F81AA0" w:rsidRDefault="00A51497" w:rsidP="0001650E">
            <w:pPr>
              <w:suppressAutoHyphens/>
              <w:rPr>
                <w:sz w:val="16"/>
                <w:lang w:val="en-US"/>
              </w:rPr>
            </w:pPr>
            <w:r w:rsidRPr="00F81AA0">
              <w:rPr>
                <w:sz w:val="16"/>
              </w:rPr>
              <w:t xml:space="preserve">Immanuelkirchstr. </w:t>
            </w:r>
            <w:r w:rsidRPr="00F81AA0">
              <w:rPr>
                <w:sz w:val="16"/>
                <w:lang w:val="en-US"/>
              </w:rPr>
              <w:t>12</w:t>
            </w:r>
          </w:p>
          <w:p w:rsidR="00A51497" w:rsidRPr="00F81AA0" w:rsidRDefault="00A51497" w:rsidP="0001650E">
            <w:pPr>
              <w:suppressAutoHyphens/>
              <w:rPr>
                <w:sz w:val="16"/>
                <w:lang w:val="en-US"/>
              </w:rPr>
            </w:pPr>
            <w:r w:rsidRPr="00F81AA0">
              <w:rPr>
                <w:sz w:val="16"/>
                <w:lang w:val="en-US"/>
              </w:rPr>
              <w:t>10405 Berlin</w:t>
            </w:r>
          </w:p>
          <w:p w:rsidR="00A51497" w:rsidRPr="00F81AA0" w:rsidRDefault="00A51497" w:rsidP="0001650E">
            <w:pPr>
              <w:suppressAutoHyphens/>
              <w:rPr>
                <w:sz w:val="16"/>
                <w:lang w:val="en-US"/>
              </w:rPr>
            </w:pPr>
            <w:r w:rsidRPr="00F81AA0">
              <w:rPr>
                <w:sz w:val="16"/>
                <w:lang w:val="en-US"/>
              </w:rPr>
              <w:t>Germany</w:t>
            </w:r>
          </w:p>
          <w:p w:rsidR="00A51497" w:rsidRPr="00F81AA0" w:rsidRDefault="00A51497" w:rsidP="0001650E">
            <w:pPr>
              <w:suppressAutoHyphens/>
              <w:rPr>
                <w:sz w:val="16"/>
                <w:lang w:val="en-US"/>
              </w:rPr>
            </w:pPr>
            <w:r w:rsidRPr="00F81AA0">
              <w:rPr>
                <w:sz w:val="16"/>
                <w:lang w:val="en-US"/>
              </w:rPr>
              <w:t>Phone: +49 . 30 . 538 9650</w:t>
            </w:r>
          </w:p>
          <w:p w:rsidR="00A51497" w:rsidRPr="00F81AA0" w:rsidRDefault="00A51497" w:rsidP="0001650E">
            <w:pPr>
              <w:suppressAutoHyphens/>
              <w:rPr>
                <w:sz w:val="16"/>
                <w:lang w:val="en-US"/>
              </w:rPr>
            </w:pPr>
            <w:r w:rsidRPr="00F81AA0">
              <w:rPr>
                <w:sz w:val="16"/>
                <w:lang w:val="en-US"/>
              </w:rPr>
              <w:t>Email: info@gii.de</w:t>
            </w:r>
          </w:p>
          <w:p w:rsidR="00A51497" w:rsidRDefault="00A51497" w:rsidP="0001650E">
            <w:pPr>
              <w:suppressAutoHyphens/>
              <w:rPr>
                <w:sz w:val="18"/>
                <w:szCs w:val="18"/>
                <w:lang w:val="en-US"/>
              </w:rPr>
            </w:pPr>
            <w:r w:rsidRPr="00F81AA0">
              <w:rPr>
                <w:sz w:val="16"/>
              </w:rPr>
              <w:t>Internet: www.gii.de</w:t>
            </w:r>
          </w:p>
        </w:tc>
      </w:tr>
    </w:tbl>
    <w:p w:rsidR="00A51497" w:rsidRPr="00F81AA0" w:rsidRDefault="00A51497" w:rsidP="00E51515">
      <w:pPr>
        <w:suppressAutoHyphens/>
        <w:rPr>
          <w:lang w:val="en-US"/>
        </w:rPr>
      </w:pPr>
    </w:p>
    <w:sectPr w:rsidR="00A51497" w:rsidRPr="00F81AA0">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640" w:rsidRDefault="00AF4640">
      <w:r>
        <w:separator/>
      </w:r>
    </w:p>
  </w:endnote>
  <w:endnote w:type="continuationSeparator" w:id="0">
    <w:p w:rsidR="00AF4640" w:rsidRDefault="00AF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640" w:rsidRDefault="00AF4640">
      <w:r>
        <w:separator/>
      </w:r>
    </w:p>
  </w:footnote>
  <w:footnote w:type="continuationSeparator" w:id="0">
    <w:p w:rsidR="00AF4640" w:rsidRDefault="00AF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F81AA0" w:rsidRDefault="00433316" w:rsidP="00370533">
    <w:pPr>
      <w:pStyle w:val="Kopfzeile"/>
      <w:tabs>
        <w:tab w:val="clear" w:pos="4536"/>
        <w:tab w:val="clear" w:pos="9072"/>
      </w:tabs>
      <w:suppressAutoHyphens/>
      <w:ind w:left="709" w:right="1701"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F81AA0" w:rsidRPr="00F81AA0">
      <w:rPr>
        <w:sz w:val="18"/>
        <w:lang w:val="en-US"/>
      </w:rPr>
      <w:t>Pag</w:t>
    </w:r>
    <w:r w:rsidR="00D86305" w:rsidRPr="00F81AA0">
      <w:rPr>
        <w:sz w:val="18"/>
        <w:lang w:val="en-US"/>
      </w:rPr>
      <w:t xml:space="preserve">e </w:t>
    </w:r>
    <w:r w:rsidR="00D86305" w:rsidRPr="00F81AA0">
      <w:rPr>
        <w:rStyle w:val="Seitenzahl"/>
        <w:sz w:val="18"/>
        <w:lang w:val="en-US"/>
      </w:rPr>
      <w:fldChar w:fldCharType="begin"/>
    </w:r>
    <w:r w:rsidR="00D86305" w:rsidRPr="00F81AA0">
      <w:rPr>
        <w:rStyle w:val="Seitenzahl"/>
        <w:sz w:val="18"/>
        <w:lang w:val="en-US"/>
      </w:rPr>
      <w:instrText xml:space="preserve"> PAGE </w:instrText>
    </w:r>
    <w:r w:rsidR="00D86305" w:rsidRPr="00F81AA0">
      <w:rPr>
        <w:rStyle w:val="Seitenzahl"/>
        <w:sz w:val="18"/>
        <w:lang w:val="en-US"/>
      </w:rPr>
      <w:fldChar w:fldCharType="separate"/>
    </w:r>
    <w:r w:rsidR="00D10425" w:rsidRPr="00F81AA0">
      <w:rPr>
        <w:rStyle w:val="Seitenzahl"/>
        <w:noProof/>
        <w:sz w:val="18"/>
        <w:lang w:val="en-US"/>
      </w:rPr>
      <w:t>2</w:t>
    </w:r>
    <w:r w:rsidR="00D86305" w:rsidRPr="00F81AA0">
      <w:rPr>
        <w:rStyle w:val="Seitenzahl"/>
        <w:sz w:val="18"/>
        <w:lang w:val="en-US"/>
      </w:rPr>
      <w:fldChar w:fldCharType="end"/>
    </w:r>
    <w:r w:rsidR="00D86305" w:rsidRPr="00F81AA0">
      <w:rPr>
        <w:rStyle w:val="Seitenzahl"/>
        <w:sz w:val="18"/>
        <w:lang w:val="en-US"/>
      </w:rPr>
      <w:t>:</w:t>
    </w:r>
    <w:r w:rsidR="00370533" w:rsidRPr="00F81AA0">
      <w:rPr>
        <w:rStyle w:val="Seitenzahl"/>
        <w:sz w:val="18"/>
        <w:lang w:val="en-US"/>
      </w:rPr>
      <w:tab/>
    </w:r>
    <w:r w:rsidR="00CB7E62">
      <w:rPr>
        <w:rStyle w:val="Seitenzahl"/>
        <w:sz w:val="18"/>
        <w:lang w:val="en-US"/>
      </w:rPr>
      <w:t>Comprehensive MIPI portfolio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433316"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51621"/>
    <w:rsid w:val="00173A46"/>
    <w:rsid w:val="00185C36"/>
    <w:rsid w:val="001F3537"/>
    <w:rsid w:val="001F4730"/>
    <w:rsid w:val="00281E8C"/>
    <w:rsid w:val="00300C73"/>
    <w:rsid w:val="0031033D"/>
    <w:rsid w:val="00336539"/>
    <w:rsid w:val="003555EF"/>
    <w:rsid w:val="003625CB"/>
    <w:rsid w:val="00364406"/>
    <w:rsid w:val="00370533"/>
    <w:rsid w:val="00380323"/>
    <w:rsid w:val="003E586F"/>
    <w:rsid w:val="00433316"/>
    <w:rsid w:val="00436300"/>
    <w:rsid w:val="00447644"/>
    <w:rsid w:val="00450F52"/>
    <w:rsid w:val="004C0023"/>
    <w:rsid w:val="004D6418"/>
    <w:rsid w:val="00507B48"/>
    <w:rsid w:val="00537169"/>
    <w:rsid w:val="00552FEA"/>
    <w:rsid w:val="0055563A"/>
    <w:rsid w:val="00583A22"/>
    <w:rsid w:val="00594D31"/>
    <w:rsid w:val="005C0704"/>
    <w:rsid w:val="00641079"/>
    <w:rsid w:val="006434A0"/>
    <w:rsid w:val="006A03A8"/>
    <w:rsid w:val="006B59AF"/>
    <w:rsid w:val="006D6F46"/>
    <w:rsid w:val="006F4333"/>
    <w:rsid w:val="00746ADE"/>
    <w:rsid w:val="00797034"/>
    <w:rsid w:val="007E454F"/>
    <w:rsid w:val="008542DD"/>
    <w:rsid w:val="00871B95"/>
    <w:rsid w:val="008D4C13"/>
    <w:rsid w:val="008E79A1"/>
    <w:rsid w:val="00900836"/>
    <w:rsid w:val="00924174"/>
    <w:rsid w:val="0093505C"/>
    <w:rsid w:val="00981B1F"/>
    <w:rsid w:val="009934B1"/>
    <w:rsid w:val="009B76C7"/>
    <w:rsid w:val="009D3AC5"/>
    <w:rsid w:val="00A1325F"/>
    <w:rsid w:val="00A25CAD"/>
    <w:rsid w:val="00A51497"/>
    <w:rsid w:val="00AD3BB2"/>
    <w:rsid w:val="00AF4640"/>
    <w:rsid w:val="00B17EBD"/>
    <w:rsid w:val="00B47F7F"/>
    <w:rsid w:val="00B5603B"/>
    <w:rsid w:val="00B63719"/>
    <w:rsid w:val="00B71BFE"/>
    <w:rsid w:val="00B8351C"/>
    <w:rsid w:val="00B9145C"/>
    <w:rsid w:val="00BA194B"/>
    <w:rsid w:val="00BF2908"/>
    <w:rsid w:val="00BF7DB1"/>
    <w:rsid w:val="00C41466"/>
    <w:rsid w:val="00C945F4"/>
    <w:rsid w:val="00CB7E62"/>
    <w:rsid w:val="00CC4D37"/>
    <w:rsid w:val="00D10425"/>
    <w:rsid w:val="00D33C55"/>
    <w:rsid w:val="00D47FEE"/>
    <w:rsid w:val="00D74BB9"/>
    <w:rsid w:val="00D76B04"/>
    <w:rsid w:val="00D86305"/>
    <w:rsid w:val="00DA297C"/>
    <w:rsid w:val="00E24308"/>
    <w:rsid w:val="00E51515"/>
    <w:rsid w:val="00E7056E"/>
    <w:rsid w:val="00E76D72"/>
    <w:rsid w:val="00E96371"/>
    <w:rsid w:val="00EB7C77"/>
    <w:rsid w:val="00EC022E"/>
    <w:rsid w:val="00F0139C"/>
    <w:rsid w:val="00F31851"/>
    <w:rsid w:val="00F679BB"/>
    <w:rsid w:val="00F81AA0"/>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3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pi-modul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CC2E-CD85-47BA-8BCE-E3FB6F17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6</cp:revision>
  <cp:lastPrinted>2002-09-20T12:05:00Z</cp:lastPrinted>
  <dcterms:created xsi:type="dcterms:W3CDTF">2020-02-04T11:55:00Z</dcterms:created>
  <dcterms:modified xsi:type="dcterms:W3CDTF">2020-02-26T10:10:00Z</dcterms:modified>
</cp:coreProperties>
</file>