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5FF66" w14:textId="77777777" w:rsidR="007B0879" w:rsidRPr="00F833E3" w:rsidRDefault="007B0879" w:rsidP="007B0879">
      <w:pPr>
        <w:rPr>
          <w:sz w:val="40"/>
          <w:szCs w:val="40"/>
        </w:rPr>
      </w:pPr>
      <w:r w:rsidRPr="00F833E3">
        <w:rPr>
          <w:sz w:val="40"/>
          <w:szCs w:val="40"/>
        </w:rPr>
        <w:t>Presseinformation</w:t>
      </w:r>
    </w:p>
    <w:p w14:paraId="5203C4B2" w14:textId="77777777" w:rsidR="007B0879" w:rsidRPr="00F833E3" w:rsidRDefault="007B0879" w:rsidP="007B0879">
      <w:pPr>
        <w:spacing w:line="360" w:lineRule="auto"/>
        <w:ind w:right="-2"/>
        <w:rPr>
          <w:b/>
          <w:sz w:val="24"/>
        </w:rPr>
      </w:pPr>
    </w:p>
    <w:p w14:paraId="759DB5EE" w14:textId="27369598" w:rsidR="007B0879" w:rsidRPr="00F833E3" w:rsidRDefault="004E3F15" w:rsidP="007B0879">
      <w:pPr>
        <w:spacing w:line="360" w:lineRule="auto"/>
        <w:rPr>
          <w:b/>
          <w:sz w:val="24"/>
        </w:rPr>
      </w:pPr>
      <w:r w:rsidRPr="004E3F15">
        <w:rPr>
          <w:b/>
          <w:sz w:val="24"/>
        </w:rPr>
        <w:t>Wärmebildkameras für fortschrittliche Fabrikautomation, Qualitätssicherung und Prozessüberwachung</w:t>
      </w:r>
    </w:p>
    <w:p w14:paraId="3E59606D" w14:textId="77777777" w:rsidR="007B0879" w:rsidRPr="00F833E3" w:rsidRDefault="007B0879" w:rsidP="007B0879">
      <w:pPr>
        <w:spacing w:line="360" w:lineRule="auto"/>
        <w:ind w:right="-2"/>
      </w:pPr>
    </w:p>
    <w:p w14:paraId="6791AF2D" w14:textId="41B5CE05" w:rsidR="004E3F15" w:rsidRDefault="004E3F15" w:rsidP="004E3F15">
      <w:pPr>
        <w:spacing w:line="360" w:lineRule="auto"/>
        <w:jc w:val="both"/>
      </w:pPr>
      <w:r>
        <w:t>Fluke Process Instruments erweitert seine Baureihe ThermoView TV30 und bringt zusätzlich der Standalone-Version auch eine GigE-Wärmebildkamera auf den Markt. Die Wärmebildkameras für den Festeinbau überwachen Prozesse und Anlagen rund um die Uhr. Sie erkennen Temperaturanomalien und senden Warnmeldungen, sodass Betreiber Probleme in ihrer Anlage frühzeitig beheben und schlechte Qualität und Schäden an Produkten und Geräten vermeiden können. Die Standalone-Version mit integrierter Analytik und Ferneinrichtung über einen Webbrowser benötigt keinen PC vor Ort, um automatisch bis zu 32 Werte für benutzerdefinierte Prüfbereiche zu überwachen (Max./Min., Mittelwert, Punkttemperatur, Standardabweichung). Die GigE-Version wurde entwickelt, um den anspruchsvollsten Anforderungen gerecht zu werden. Programmierer können</w:t>
      </w:r>
      <w:r w:rsidRPr="004E3F15">
        <w:t xml:space="preserve"> </w:t>
      </w:r>
      <w:r>
        <w:t xml:space="preserve">über Standardanwendungen wie Labview oder Matlab oder die proprietäre ThermoView-Software direkt auf die Kamera zugreifen. Die GigE-Kamera wird an einen PC in der Produktionsanlage oder im Kontrollraum angeschlossen und kann Wärmebilder mit bis zu 60 Bildern pro Sekunde streamen. Die ThermoView-Software bietet eine Vielzahl von Einstellungen und Funktionen für alle typischen industriellen Temperaturüberwachungs- und Dokumentationsanforderungen. Sie unterstützt </w:t>
      </w:r>
      <w:r w:rsidR="00977E1A">
        <w:t xml:space="preserve">beliebig viele </w:t>
      </w:r>
      <w:r>
        <w:t xml:space="preserve">Prüfbereiche (AOI – Areas of Interest), Prognosen für diese AOI und die manuelle oder automatisierte Archivierung von Bildern </w:t>
      </w:r>
      <w:r w:rsidR="00977E1A">
        <w:t>und</w:t>
      </w:r>
      <w:r>
        <w:t xml:space="preserve"> Messwerten</w:t>
      </w:r>
      <w:r w:rsidR="000B4445">
        <w:t>, um volle</w:t>
      </w:r>
      <w:r>
        <w:t xml:space="preserve"> Rückverfolgbarkeit</w:t>
      </w:r>
      <w:r w:rsidR="000B4445">
        <w:t xml:space="preserve"> zu gewährleisten</w:t>
      </w:r>
      <w:r>
        <w:t>.</w:t>
      </w:r>
    </w:p>
    <w:p w14:paraId="151018A4" w14:textId="77777777" w:rsidR="000B4445" w:rsidRDefault="000B4445" w:rsidP="000B4445">
      <w:pPr>
        <w:spacing w:line="360" w:lineRule="auto"/>
        <w:jc w:val="both"/>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076"/>
      </w:tblGrid>
      <w:tr w:rsidR="000B4445" w14:paraId="54A9804F" w14:textId="77777777" w:rsidTr="00CA27CC">
        <w:trPr>
          <w:jc w:val="center"/>
        </w:trPr>
        <w:tc>
          <w:tcPr>
            <w:tcW w:w="7076" w:type="dxa"/>
          </w:tcPr>
          <w:p w14:paraId="258E06D9" w14:textId="581269CC" w:rsidR="000B4445" w:rsidRDefault="00824C71" w:rsidP="00CA27CC">
            <w:pPr>
              <w:spacing w:after="120"/>
              <w:jc w:val="center"/>
            </w:pPr>
            <w:r>
              <w:rPr>
                <w:noProof/>
              </w:rPr>
              <w:drawing>
                <wp:inline distT="0" distB="0" distL="0" distR="0" wp14:anchorId="55719B4A" wp14:editId="53EBAEA2">
                  <wp:extent cx="2743200" cy="1469136"/>
                  <wp:effectExtent l="0" t="0" r="0" b="0"/>
                  <wp:docPr id="142906121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061212" name="Grafik 142906121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43200" cy="1469136"/>
                          </a:xfrm>
                          <a:prstGeom prst="rect">
                            <a:avLst/>
                          </a:prstGeom>
                        </pic:spPr>
                      </pic:pic>
                    </a:graphicData>
                  </a:graphic>
                </wp:inline>
              </w:drawing>
            </w:r>
          </w:p>
        </w:tc>
      </w:tr>
      <w:tr w:rsidR="000B4445" w14:paraId="38C0BBF6" w14:textId="77777777" w:rsidTr="00CA27CC">
        <w:trPr>
          <w:jc w:val="center"/>
        </w:trPr>
        <w:tc>
          <w:tcPr>
            <w:tcW w:w="7076" w:type="dxa"/>
          </w:tcPr>
          <w:p w14:paraId="05AC2980" w14:textId="6EB8FCF8" w:rsidR="000B4445" w:rsidRDefault="000B4445" w:rsidP="00CA27CC">
            <w:pPr>
              <w:jc w:val="center"/>
            </w:pPr>
            <w:r w:rsidRPr="00F833E3">
              <w:rPr>
                <w:b/>
                <w:sz w:val="18"/>
              </w:rPr>
              <w:t>Bild:</w:t>
            </w:r>
            <w:r w:rsidRPr="00F833E3">
              <w:rPr>
                <w:sz w:val="18"/>
              </w:rPr>
              <w:t xml:space="preserve"> </w:t>
            </w:r>
            <w:r>
              <w:rPr>
                <w:sz w:val="18"/>
              </w:rPr>
              <w:t xml:space="preserve">Die Baureihe </w:t>
            </w:r>
            <w:r w:rsidRPr="004E3F15">
              <w:rPr>
                <w:sz w:val="18"/>
              </w:rPr>
              <w:t>ThermoView TV30</w:t>
            </w:r>
            <w:r>
              <w:rPr>
                <w:sz w:val="18"/>
              </w:rPr>
              <w:t xml:space="preserve"> umfasst </w:t>
            </w:r>
            <w:r w:rsidRPr="004E3F15">
              <w:rPr>
                <w:sz w:val="18"/>
              </w:rPr>
              <w:t xml:space="preserve">eine </w:t>
            </w:r>
            <w:r>
              <w:rPr>
                <w:sz w:val="18"/>
              </w:rPr>
              <w:t>autarke</w:t>
            </w:r>
            <w:r w:rsidRPr="004E3F15">
              <w:rPr>
                <w:sz w:val="18"/>
              </w:rPr>
              <w:t xml:space="preserve"> Wärmebildkamera mit Onboard-Analytik, automatischen </w:t>
            </w:r>
            <w:r>
              <w:rPr>
                <w:sz w:val="18"/>
              </w:rPr>
              <w:t>Alarm</w:t>
            </w:r>
            <w:r w:rsidRPr="004E3F15">
              <w:rPr>
                <w:sz w:val="18"/>
              </w:rPr>
              <w:t xml:space="preserve">en und integriertem Webbrowser sowie eine GigE-PC-Version </w:t>
            </w:r>
            <w:r>
              <w:rPr>
                <w:sz w:val="18"/>
              </w:rPr>
              <w:t>zur</w:t>
            </w:r>
            <w:r w:rsidRPr="004E3F15">
              <w:rPr>
                <w:sz w:val="18"/>
              </w:rPr>
              <w:t xml:space="preserve"> </w:t>
            </w:r>
            <w:r w:rsidR="00977E1A">
              <w:rPr>
                <w:sz w:val="18"/>
              </w:rPr>
              <w:t>Volli</w:t>
            </w:r>
            <w:r w:rsidRPr="004E3F15">
              <w:rPr>
                <w:sz w:val="18"/>
              </w:rPr>
              <w:t>ntegration in Analyseanwendungen wie Labview, Matlab oder das proprietäre ThermoView</w:t>
            </w:r>
          </w:p>
        </w:tc>
      </w:tr>
    </w:tbl>
    <w:p w14:paraId="54F7A981" w14:textId="77777777" w:rsidR="000B4445" w:rsidRDefault="000B4445" w:rsidP="000B4445">
      <w:pPr>
        <w:spacing w:line="360" w:lineRule="auto"/>
        <w:jc w:val="both"/>
      </w:pPr>
    </w:p>
    <w:p w14:paraId="05D4FDE8" w14:textId="7AEA3599" w:rsidR="007B0879" w:rsidRPr="00F833E3" w:rsidRDefault="004E3F15" w:rsidP="004E3F15">
      <w:pPr>
        <w:spacing w:line="360" w:lineRule="auto"/>
        <w:jc w:val="both"/>
      </w:pPr>
      <w:r>
        <w:t xml:space="preserve">Die Wärmebildkameras </w:t>
      </w:r>
      <w:r w:rsidR="000B4445">
        <w:t xml:space="preserve">erfassen </w:t>
      </w:r>
      <w:r>
        <w:t xml:space="preserve">Temperaturen von -10 °C bis 1300 °C. Für erhöhte Genauigkeit können Anwender engere Temperaturbereiche bestimmen. Die </w:t>
      </w:r>
      <w:r w:rsidR="004C0881">
        <w:t>Systeme</w:t>
      </w:r>
      <w:r>
        <w:t xml:space="preserve"> haben ein robustes Gehäuse mit Schutzart IP67. Die Serie bietet </w:t>
      </w:r>
      <w:r>
        <w:lastRenderedPageBreak/>
        <w:t>außerdem zwei Auflösungsoptionen für</w:t>
      </w:r>
      <w:r w:rsidR="000B4445">
        <w:t xml:space="preserve"> die</w:t>
      </w:r>
      <w:r>
        <w:t xml:space="preserve"> Infrarotkameras, drei Objektive für unterschiedliche Sichtfelder und Schutzzubehör für anspruchsvolle Umgebungen. Alle Modelle zeichnen sich durch eine hervorragende Konnektivität aus</w:t>
      </w:r>
      <w:r w:rsidR="000B4445">
        <w:t>: Sie</w:t>
      </w:r>
      <w:r>
        <w:t xml:space="preserve"> </w:t>
      </w:r>
      <w:r w:rsidR="000B4445">
        <w:t xml:space="preserve">unterstützen </w:t>
      </w:r>
      <w:r>
        <w:t xml:space="preserve">mehrere Protokolle </w:t>
      </w:r>
      <w:r w:rsidR="000B4445">
        <w:t>und</w:t>
      </w:r>
      <w:r>
        <w:t xml:space="preserve"> eine einfache Integration in Automatisierungssysteme auf Anlagenebene und computergestützte Wartungsmanagementsysteme (CMMS).</w:t>
      </w:r>
    </w:p>
    <w:p w14:paraId="38BAF6C8" w14:textId="3C378B00" w:rsidR="004C0881" w:rsidRDefault="0056745B" w:rsidP="0056745B">
      <w:pPr>
        <w:spacing w:line="360" w:lineRule="auto"/>
      </w:pPr>
      <w:r>
        <w:t>Mehr Informationen:</w:t>
      </w:r>
      <w:r w:rsidR="004C0881">
        <w:t xml:space="preserve"> </w:t>
      </w:r>
      <w:hyperlink r:id="rId8" w:history="1">
        <w:r w:rsidR="004C0881" w:rsidRPr="007251CD">
          <w:rPr>
            <w:rStyle w:val="Hyperlink"/>
          </w:rPr>
          <w:t>https://www.flukeprocessinstruments.com/de/thermoview-tv30</w:t>
        </w:r>
      </w:hyperlink>
    </w:p>
    <w:p w14:paraId="01EE3769" w14:textId="77777777" w:rsidR="004C0881" w:rsidRDefault="004C0881" w:rsidP="0056745B">
      <w:pPr>
        <w:spacing w:line="360" w:lineRule="auto"/>
      </w:pPr>
    </w:p>
    <w:p w14:paraId="036B2D88" w14:textId="77777777" w:rsidR="00040C88" w:rsidRPr="00F833E3" w:rsidRDefault="00040C88">
      <w:pPr>
        <w:spacing w:line="360" w:lineRule="auto"/>
        <w:jc w:val="both"/>
      </w:pPr>
    </w:p>
    <w:p w14:paraId="41BE6378" w14:textId="77777777" w:rsidR="00040C88" w:rsidRDefault="00040C88">
      <w:pPr>
        <w:spacing w:line="360" w:lineRule="auto"/>
        <w:jc w:val="both"/>
      </w:pPr>
    </w:p>
    <w:p w14:paraId="7C3D36EB" w14:textId="77777777" w:rsidR="000B4445" w:rsidRDefault="000B4445">
      <w:pPr>
        <w:spacing w:line="360" w:lineRule="auto"/>
        <w:jc w:val="both"/>
      </w:pPr>
    </w:p>
    <w:p w14:paraId="2A6ADDFA" w14:textId="77777777" w:rsidR="000B4445" w:rsidRDefault="000B4445">
      <w:pPr>
        <w:spacing w:line="360" w:lineRule="auto"/>
        <w:jc w:val="both"/>
      </w:pPr>
    </w:p>
    <w:p w14:paraId="074CFD60" w14:textId="77777777" w:rsidR="000B4445" w:rsidRDefault="000B4445">
      <w:pPr>
        <w:spacing w:line="360" w:lineRule="auto"/>
        <w:jc w:val="both"/>
      </w:pPr>
    </w:p>
    <w:p w14:paraId="503FBC8C" w14:textId="77777777" w:rsidR="000B4445" w:rsidRDefault="000B4445">
      <w:pPr>
        <w:spacing w:line="360" w:lineRule="auto"/>
        <w:jc w:val="both"/>
      </w:pPr>
    </w:p>
    <w:p w14:paraId="4DFCF901" w14:textId="77777777" w:rsidR="000B4445" w:rsidRDefault="000B4445">
      <w:pPr>
        <w:spacing w:line="360" w:lineRule="auto"/>
        <w:jc w:val="both"/>
      </w:pPr>
    </w:p>
    <w:p w14:paraId="0B20232D" w14:textId="77777777" w:rsidR="004C0881" w:rsidRDefault="004C0881">
      <w:pPr>
        <w:spacing w:line="360" w:lineRule="auto"/>
        <w:jc w:val="both"/>
      </w:pPr>
    </w:p>
    <w:p w14:paraId="6504101E" w14:textId="77777777" w:rsidR="004C0881" w:rsidRDefault="004C0881">
      <w:pPr>
        <w:spacing w:line="360" w:lineRule="auto"/>
        <w:jc w:val="both"/>
      </w:pPr>
    </w:p>
    <w:p w14:paraId="47E1FA27" w14:textId="77777777" w:rsidR="004C0881" w:rsidRDefault="004C0881">
      <w:pPr>
        <w:spacing w:line="360" w:lineRule="auto"/>
        <w:jc w:val="both"/>
      </w:pPr>
    </w:p>
    <w:p w14:paraId="590EEE13" w14:textId="77777777" w:rsidR="004C0881" w:rsidRDefault="004C0881">
      <w:pPr>
        <w:spacing w:line="360" w:lineRule="auto"/>
        <w:jc w:val="both"/>
      </w:pPr>
    </w:p>
    <w:p w14:paraId="226A8744" w14:textId="77777777" w:rsidR="000B4445" w:rsidRDefault="000B4445">
      <w:pPr>
        <w:spacing w:line="360" w:lineRule="auto"/>
        <w:jc w:val="both"/>
      </w:pPr>
    </w:p>
    <w:p w14:paraId="17505F07" w14:textId="77777777" w:rsidR="000B4445" w:rsidRPr="00F833E3" w:rsidRDefault="000B4445">
      <w:pPr>
        <w:spacing w:line="360" w:lineRule="auto"/>
        <w:jc w:val="both"/>
      </w:pPr>
    </w:p>
    <w:p w14:paraId="1D7AC02B" w14:textId="77777777" w:rsidR="007878AB" w:rsidRPr="00F833E3" w:rsidRDefault="007878AB" w:rsidP="007878AB">
      <w:pPr>
        <w:spacing w:line="360" w:lineRule="auto"/>
        <w:jc w:val="both"/>
      </w:pPr>
    </w:p>
    <w:p w14:paraId="092AEEEB" w14:textId="081D0DA7" w:rsidR="007878AB" w:rsidRDefault="007878AB" w:rsidP="00B265FF"/>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45"/>
        <w:gridCol w:w="3830"/>
        <w:gridCol w:w="972"/>
        <w:gridCol w:w="1129"/>
      </w:tblGrid>
      <w:tr w:rsidR="00B265FF" w:rsidRPr="00B265FF" w14:paraId="56490115" w14:textId="77777777" w:rsidTr="00B265FF">
        <w:tc>
          <w:tcPr>
            <w:tcW w:w="1145" w:type="dxa"/>
          </w:tcPr>
          <w:p w14:paraId="187EA664" w14:textId="34C9CF04" w:rsidR="00B265FF" w:rsidRPr="00B265FF" w:rsidRDefault="00B265FF" w:rsidP="00B265FF">
            <w:pPr>
              <w:rPr>
                <w:sz w:val="18"/>
                <w:szCs w:val="18"/>
              </w:rPr>
            </w:pPr>
            <w:r w:rsidRPr="00B265FF">
              <w:rPr>
                <w:sz w:val="18"/>
                <w:szCs w:val="18"/>
              </w:rPr>
              <w:t>Bilder:</w:t>
            </w:r>
          </w:p>
        </w:tc>
        <w:tc>
          <w:tcPr>
            <w:tcW w:w="3830" w:type="dxa"/>
          </w:tcPr>
          <w:p w14:paraId="4DC20FB6" w14:textId="71547002" w:rsidR="00B265FF" w:rsidRPr="00B265FF" w:rsidRDefault="00824C71" w:rsidP="00B265FF">
            <w:pPr>
              <w:rPr>
                <w:sz w:val="18"/>
                <w:szCs w:val="18"/>
              </w:rPr>
            </w:pPr>
            <w:r w:rsidRPr="00824C71">
              <w:rPr>
                <w:sz w:val="18"/>
                <w:szCs w:val="18"/>
              </w:rPr>
              <w:t>thermoview_tv30_8630</w:t>
            </w:r>
          </w:p>
        </w:tc>
        <w:tc>
          <w:tcPr>
            <w:tcW w:w="972" w:type="dxa"/>
          </w:tcPr>
          <w:p w14:paraId="28E19A9A" w14:textId="4641EC12" w:rsidR="00B265FF" w:rsidRPr="00B265FF" w:rsidRDefault="00B265FF" w:rsidP="00B265FF">
            <w:pPr>
              <w:rPr>
                <w:sz w:val="18"/>
                <w:szCs w:val="18"/>
              </w:rPr>
            </w:pPr>
            <w:r w:rsidRPr="00B265FF">
              <w:rPr>
                <w:sz w:val="18"/>
                <w:szCs w:val="18"/>
              </w:rPr>
              <w:t>Zeichen:</w:t>
            </w:r>
          </w:p>
        </w:tc>
        <w:tc>
          <w:tcPr>
            <w:tcW w:w="1129" w:type="dxa"/>
          </w:tcPr>
          <w:p w14:paraId="71F4C57B" w14:textId="622FFA7A" w:rsidR="00B265FF" w:rsidRPr="00B265FF" w:rsidRDefault="004C0881" w:rsidP="00B265FF">
            <w:pPr>
              <w:jc w:val="right"/>
              <w:rPr>
                <w:sz w:val="18"/>
                <w:szCs w:val="18"/>
              </w:rPr>
            </w:pPr>
            <w:r>
              <w:rPr>
                <w:sz w:val="18"/>
                <w:szCs w:val="18"/>
              </w:rPr>
              <w:t>2099</w:t>
            </w:r>
          </w:p>
        </w:tc>
      </w:tr>
      <w:tr w:rsidR="00B265FF" w:rsidRPr="00B265FF" w14:paraId="772A9407" w14:textId="77777777" w:rsidTr="00B265FF">
        <w:tc>
          <w:tcPr>
            <w:tcW w:w="1145" w:type="dxa"/>
          </w:tcPr>
          <w:p w14:paraId="49BB7724" w14:textId="6FBC482D" w:rsidR="00B265FF" w:rsidRPr="00B265FF" w:rsidRDefault="00B265FF" w:rsidP="00B265FF">
            <w:pPr>
              <w:spacing w:before="120"/>
              <w:rPr>
                <w:sz w:val="18"/>
                <w:szCs w:val="18"/>
              </w:rPr>
            </w:pPr>
            <w:r w:rsidRPr="00B265FF">
              <w:rPr>
                <w:sz w:val="18"/>
                <w:szCs w:val="18"/>
              </w:rPr>
              <w:t>Dateiname:</w:t>
            </w:r>
          </w:p>
        </w:tc>
        <w:tc>
          <w:tcPr>
            <w:tcW w:w="3830" w:type="dxa"/>
          </w:tcPr>
          <w:p w14:paraId="37D68B3A" w14:textId="7CFE14F0" w:rsidR="00B265FF" w:rsidRPr="004E3F15" w:rsidRDefault="004E3F15" w:rsidP="00B265FF">
            <w:pPr>
              <w:spacing w:before="120"/>
              <w:rPr>
                <w:sz w:val="18"/>
                <w:szCs w:val="18"/>
                <w:lang w:val="en-US"/>
              </w:rPr>
            </w:pPr>
            <w:r w:rsidRPr="004E3F15">
              <w:rPr>
                <w:sz w:val="18"/>
                <w:szCs w:val="18"/>
                <w:lang w:val="en-US"/>
              </w:rPr>
              <w:t>202401011_pm_thermoview_tv30_gige_de</w:t>
            </w:r>
          </w:p>
        </w:tc>
        <w:tc>
          <w:tcPr>
            <w:tcW w:w="972" w:type="dxa"/>
          </w:tcPr>
          <w:p w14:paraId="3CA8002B" w14:textId="69F0B480" w:rsidR="00B265FF" w:rsidRPr="00B265FF" w:rsidRDefault="00B265FF" w:rsidP="00B265FF">
            <w:pPr>
              <w:spacing w:before="120"/>
              <w:rPr>
                <w:sz w:val="18"/>
                <w:szCs w:val="18"/>
              </w:rPr>
            </w:pPr>
            <w:r w:rsidRPr="00B265FF">
              <w:rPr>
                <w:sz w:val="18"/>
                <w:szCs w:val="18"/>
              </w:rPr>
              <w:t>Datum:</w:t>
            </w:r>
          </w:p>
        </w:tc>
        <w:tc>
          <w:tcPr>
            <w:tcW w:w="1129" w:type="dxa"/>
          </w:tcPr>
          <w:p w14:paraId="141B5222" w14:textId="2AB06293" w:rsidR="00B265FF" w:rsidRPr="00B265FF" w:rsidRDefault="008C4446" w:rsidP="00B265FF">
            <w:pPr>
              <w:spacing w:before="120"/>
              <w:jc w:val="right"/>
              <w:rPr>
                <w:sz w:val="18"/>
                <w:szCs w:val="18"/>
              </w:rPr>
            </w:pPr>
            <w:r>
              <w:rPr>
                <w:sz w:val="18"/>
                <w:szCs w:val="18"/>
              </w:rPr>
              <w:t>24.01.2024</w:t>
            </w:r>
          </w:p>
        </w:tc>
      </w:tr>
      <w:tr w:rsidR="00B265FF" w:rsidRPr="00B265FF" w14:paraId="5CF074A9" w14:textId="77777777" w:rsidTr="00B265FF">
        <w:tc>
          <w:tcPr>
            <w:tcW w:w="7076" w:type="dxa"/>
            <w:gridSpan w:val="4"/>
            <w:tcBorders>
              <w:bottom w:val="single" w:sz="4" w:space="0" w:color="auto"/>
            </w:tcBorders>
          </w:tcPr>
          <w:p w14:paraId="11128FA4" w14:textId="58E77074" w:rsidR="00B265FF" w:rsidRDefault="00B265FF" w:rsidP="00B265FF">
            <w:pPr>
              <w:spacing w:before="120" w:after="120"/>
              <w:rPr>
                <w:b/>
                <w:sz w:val="16"/>
              </w:rPr>
            </w:pPr>
            <w:r w:rsidRPr="00F833E3">
              <w:rPr>
                <w:b/>
                <w:sz w:val="16"/>
              </w:rPr>
              <w:t>Über Fluke Process Instruments</w:t>
            </w:r>
          </w:p>
          <w:p w14:paraId="41D1F6B2" w14:textId="23FB265C" w:rsidR="00B265FF" w:rsidRDefault="00B265FF" w:rsidP="00B265FF">
            <w:pPr>
              <w:spacing w:after="120"/>
              <w:jc w:val="both"/>
              <w:rPr>
                <w:sz w:val="16"/>
                <w:szCs w:val="16"/>
              </w:rPr>
            </w:pPr>
            <w:r w:rsidRPr="00F833E3">
              <w:rPr>
                <w:sz w:val="16"/>
                <w:szCs w:val="16"/>
              </w:rPr>
              <w:t>Fluke Process Instruments entwickelt, fertigt und vertreibt ein umfassendes Programm an Infrarot-Messsystemen und Temperaturüberwachungslösungen für industrielle Anwendungen, Instandhaltung und Qualitätskontrolle. Die Produkte, die weltweit unter den Marken Raytek, Ircon und Datapaq vertrieben werden, stehen für über 150 Jahre Technologieführerschaft im Bereich der Temperaturmessung.</w:t>
            </w:r>
          </w:p>
          <w:p w14:paraId="4A7751B5" w14:textId="3704F55F" w:rsidR="00B265FF" w:rsidRDefault="00B265FF" w:rsidP="00B265FF">
            <w:pPr>
              <w:spacing w:after="120"/>
              <w:rPr>
                <w:b/>
                <w:sz w:val="16"/>
              </w:rPr>
            </w:pPr>
            <w:r w:rsidRPr="00F833E3">
              <w:rPr>
                <w:b/>
                <w:sz w:val="16"/>
              </w:rPr>
              <w:t>Über Fluke</w:t>
            </w:r>
          </w:p>
          <w:p w14:paraId="4E598FDA" w14:textId="60C1CEAF" w:rsidR="00B265FF" w:rsidRPr="00B265FF" w:rsidRDefault="00B265FF" w:rsidP="00B265FF">
            <w:pPr>
              <w:spacing w:after="120"/>
              <w:jc w:val="both"/>
              <w:rPr>
                <w:sz w:val="16"/>
                <w:szCs w:val="16"/>
              </w:rPr>
            </w:pPr>
            <w:r w:rsidRPr="00F833E3">
              <w:rPr>
                <w:sz w:val="16"/>
                <w:szCs w:val="16"/>
              </w:rPr>
              <w:t>Die 1948 gegründete Aktiengesellschaft Fluke mit Sitz in Everett (Washington), USA, ist der internationale Marktführer im Bereich kompakter elektronischer Test- und Messgeräte. Anwender sind technisches Fachpersonal, Ingenieure, Elektriker und Messtechniker, die industrielle, elektrische und elektronische Anlagen und Kalibrierprozesse einrichten, testen und bedienen.</w:t>
            </w:r>
          </w:p>
        </w:tc>
      </w:tr>
      <w:tr w:rsidR="00B265FF" w:rsidRPr="00B265FF" w14:paraId="2545EE8C" w14:textId="77777777" w:rsidTr="00B265FF">
        <w:tc>
          <w:tcPr>
            <w:tcW w:w="4975" w:type="dxa"/>
            <w:gridSpan w:val="2"/>
            <w:tcBorders>
              <w:top w:val="single" w:sz="4" w:space="0" w:color="auto"/>
            </w:tcBorders>
          </w:tcPr>
          <w:p w14:paraId="6B4D372D" w14:textId="77777777" w:rsidR="00B265FF" w:rsidRDefault="00B265FF" w:rsidP="00B265FF">
            <w:pPr>
              <w:spacing w:before="120"/>
              <w:rPr>
                <w:b/>
              </w:rPr>
            </w:pPr>
            <w:r w:rsidRPr="00F833E3">
              <w:rPr>
                <w:b/>
              </w:rPr>
              <w:t>Kontakt:</w:t>
            </w:r>
          </w:p>
          <w:p w14:paraId="4169053A" w14:textId="77777777" w:rsidR="00B265FF" w:rsidRPr="00B265FF" w:rsidRDefault="00B265FF" w:rsidP="00B265FF">
            <w:pPr>
              <w:spacing w:before="120" w:after="120"/>
              <w:rPr>
                <w:b/>
                <w:bCs/>
              </w:rPr>
            </w:pPr>
            <w:r w:rsidRPr="00B265FF">
              <w:rPr>
                <w:b/>
                <w:bCs/>
              </w:rPr>
              <w:t>Fluke Process Instruments GmbH</w:t>
            </w:r>
          </w:p>
          <w:p w14:paraId="14128832" w14:textId="77777777" w:rsidR="00B265FF" w:rsidRDefault="00B265FF" w:rsidP="00B265FF">
            <w:r w:rsidRPr="00F833E3">
              <w:t>Blankenburger Straße 135</w:t>
            </w:r>
          </w:p>
          <w:p w14:paraId="51C3426B" w14:textId="77777777" w:rsidR="00B265FF" w:rsidRDefault="00B265FF" w:rsidP="00B265FF">
            <w:r w:rsidRPr="00F833E3">
              <w:t>13127 Berlin</w:t>
            </w:r>
          </w:p>
          <w:p w14:paraId="74FE68D7" w14:textId="683856FE" w:rsidR="00B265FF" w:rsidRDefault="00B265FF" w:rsidP="00B265FF">
            <w:pPr>
              <w:spacing w:before="120"/>
            </w:pPr>
            <w:r w:rsidRPr="00F833E3">
              <w:t xml:space="preserve">Tel.: </w:t>
            </w:r>
            <w:r w:rsidR="006B19A5">
              <w:t xml:space="preserve">+49 </w:t>
            </w:r>
            <w:r w:rsidRPr="00F833E3">
              <w:t>30 478 0080</w:t>
            </w:r>
          </w:p>
          <w:p w14:paraId="30FCE256" w14:textId="0D4E85C6" w:rsidR="00B265FF" w:rsidRDefault="00B265FF" w:rsidP="00B265FF">
            <w:r w:rsidRPr="00F833E3">
              <w:t xml:space="preserve">E-Mail: </w:t>
            </w:r>
            <w:hyperlink r:id="rId9" w:history="1">
              <w:r w:rsidRPr="00F833E3">
                <w:rPr>
                  <w:rStyle w:val="Hyperlink"/>
                </w:rPr>
                <w:t>marketing@flukeprocessinstruments.de</w:t>
              </w:r>
            </w:hyperlink>
          </w:p>
          <w:p w14:paraId="3097D3DD" w14:textId="5278C00C" w:rsidR="00B265FF" w:rsidRDefault="00B265FF" w:rsidP="00B265FF">
            <w:r w:rsidRPr="00F833E3">
              <w:t xml:space="preserve">Internet: </w:t>
            </w:r>
            <w:hyperlink r:id="rId10" w:history="1">
              <w:r w:rsidRPr="00F833E3">
                <w:rPr>
                  <w:rStyle w:val="Hyperlink"/>
                </w:rPr>
                <w:t>www.flukeprocessinstruments.com</w:t>
              </w:r>
            </w:hyperlink>
          </w:p>
        </w:tc>
        <w:tc>
          <w:tcPr>
            <w:tcW w:w="2101" w:type="dxa"/>
            <w:gridSpan w:val="2"/>
            <w:tcBorders>
              <w:top w:val="single" w:sz="4" w:space="0" w:color="auto"/>
            </w:tcBorders>
          </w:tcPr>
          <w:p w14:paraId="30ACD982" w14:textId="77777777" w:rsidR="00B265FF" w:rsidRDefault="00B265FF" w:rsidP="00B265FF">
            <w:pPr>
              <w:spacing w:before="480"/>
              <w:rPr>
                <w:sz w:val="16"/>
              </w:rPr>
            </w:pPr>
            <w:r w:rsidRPr="00F833E3">
              <w:rPr>
                <w:sz w:val="16"/>
              </w:rPr>
              <w:t>gii die Presse-Agentur GmbH</w:t>
            </w:r>
          </w:p>
          <w:p w14:paraId="7AA89EC1" w14:textId="77777777" w:rsidR="00B265FF" w:rsidRDefault="00B265FF" w:rsidP="00B265FF">
            <w:pPr>
              <w:rPr>
                <w:sz w:val="16"/>
              </w:rPr>
            </w:pPr>
            <w:r w:rsidRPr="00F833E3">
              <w:rPr>
                <w:sz w:val="16"/>
              </w:rPr>
              <w:t>Immanuelkirchstraße 12</w:t>
            </w:r>
          </w:p>
          <w:p w14:paraId="5D77556A" w14:textId="33A80236" w:rsidR="00B265FF" w:rsidRDefault="00B265FF" w:rsidP="00B265FF">
            <w:pPr>
              <w:rPr>
                <w:sz w:val="16"/>
                <w:szCs w:val="16"/>
              </w:rPr>
            </w:pPr>
            <w:r w:rsidRPr="00F833E3">
              <w:rPr>
                <w:sz w:val="16"/>
              </w:rPr>
              <w:t>10405 Berlin</w:t>
            </w:r>
          </w:p>
          <w:p w14:paraId="239CA633" w14:textId="738A40FE" w:rsidR="00B265FF" w:rsidRDefault="00B265FF" w:rsidP="00B265FF">
            <w:pPr>
              <w:rPr>
                <w:sz w:val="16"/>
                <w:szCs w:val="16"/>
              </w:rPr>
            </w:pPr>
            <w:r w:rsidRPr="00F833E3">
              <w:rPr>
                <w:sz w:val="16"/>
              </w:rPr>
              <w:t xml:space="preserve">Tel.: </w:t>
            </w:r>
            <w:r w:rsidR="006B19A5">
              <w:rPr>
                <w:sz w:val="16"/>
              </w:rPr>
              <w:t xml:space="preserve">+49 </w:t>
            </w:r>
            <w:r w:rsidRPr="00F833E3">
              <w:rPr>
                <w:sz w:val="16"/>
              </w:rPr>
              <w:t>30 538 9650</w:t>
            </w:r>
          </w:p>
          <w:p w14:paraId="6F888974" w14:textId="77BAAC9F" w:rsidR="00B265FF" w:rsidRDefault="00B265FF" w:rsidP="00B265FF">
            <w:pPr>
              <w:rPr>
                <w:sz w:val="16"/>
                <w:szCs w:val="16"/>
              </w:rPr>
            </w:pPr>
            <w:r w:rsidRPr="00F833E3">
              <w:rPr>
                <w:sz w:val="16"/>
              </w:rPr>
              <w:t xml:space="preserve">E-Mail: </w:t>
            </w:r>
            <w:hyperlink r:id="rId11" w:history="1">
              <w:r w:rsidRPr="00F833E3">
                <w:rPr>
                  <w:rStyle w:val="Hyperlink"/>
                  <w:sz w:val="16"/>
                </w:rPr>
                <w:t>info@gii.de</w:t>
              </w:r>
            </w:hyperlink>
          </w:p>
          <w:p w14:paraId="744C1170" w14:textId="54138C35" w:rsidR="00B265FF" w:rsidRPr="00B265FF" w:rsidRDefault="00B265FF" w:rsidP="00B265FF">
            <w:pPr>
              <w:rPr>
                <w:sz w:val="16"/>
                <w:szCs w:val="16"/>
              </w:rPr>
            </w:pPr>
            <w:r w:rsidRPr="00F833E3">
              <w:rPr>
                <w:sz w:val="16"/>
              </w:rPr>
              <w:t xml:space="preserve">Internet: </w:t>
            </w:r>
            <w:hyperlink r:id="rId12" w:history="1">
              <w:r w:rsidRPr="00F833E3">
                <w:rPr>
                  <w:rStyle w:val="Hyperlink"/>
                  <w:sz w:val="16"/>
                </w:rPr>
                <w:t>www.gii.de</w:t>
              </w:r>
            </w:hyperlink>
          </w:p>
        </w:tc>
      </w:tr>
    </w:tbl>
    <w:p w14:paraId="5DA1771D" w14:textId="16637D43" w:rsidR="00B265FF" w:rsidRDefault="00B265FF" w:rsidP="00B265FF"/>
    <w:sectPr w:rsidR="00B265FF" w:rsidSect="0065722C">
      <w:headerReference w:type="default" r:id="rId13"/>
      <w:footerReference w:type="default" r:id="rId14"/>
      <w:headerReference w:type="first" r:id="rId15"/>
      <w:footerReference w:type="first" r:id="rId16"/>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1D6F9A" w14:textId="77777777" w:rsidR="0065722C" w:rsidRDefault="0065722C">
      <w:r>
        <w:separator/>
      </w:r>
    </w:p>
  </w:endnote>
  <w:endnote w:type="continuationSeparator" w:id="0">
    <w:p w14:paraId="336753DE" w14:textId="77777777" w:rsidR="0065722C" w:rsidRDefault="006572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7B1A6" w14:textId="77777777" w:rsidR="00007664" w:rsidRPr="00007664" w:rsidRDefault="00007664" w:rsidP="00007664">
    <w:pPr>
      <w:pStyle w:val="Fuzeile"/>
      <w:tabs>
        <w:tab w:val="clear" w:pos="4536"/>
        <w:tab w:val="clear" w:pos="9072"/>
      </w:tabs>
      <w:rPr>
        <w:rFonts w:cs="Arial"/>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B81A6" w14:textId="77777777" w:rsidR="00007664" w:rsidRPr="00007664" w:rsidRDefault="00007664" w:rsidP="00007664">
    <w:pPr>
      <w:pStyle w:val="Fuzeile"/>
      <w:tabs>
        <w:tab w:val="clear" w:pos="4536"/>
        <w:tab w:val="clear" w:pos="9072"/>
      </w:tabs>
      <w:rPr>
        <w:rFonts w:cs="Arial"/>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F152EB" w14:textId="77777777" w:rsidR="0065722C" w:rsidRDefault="0065722C">
      <w:r>
        <w:separator/>
      </w:r>
    </w:p>
  </w:footnote>
  <w:footnote w:type="continuationSeparator" w:id="0">
    <w:p w14:paraId="3BDAFAE0" w14:textId="77777777" w:rsidR="0065722C" w:rsidRDefault="006572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498D8" w14:textId="438ABDB4" w:rsidR="00040C88" w:rsidRDefault="00CB6EF6" w:rsidP="007B0879">
    <w:pPr>
      <w:pStyle w:val="Kopfzeile"/>
      <w:tabs>
        <w:tab w:val="clear" w:pos="4536"/>
        <w:tab w:val="clear" w:pos="9072"/>
      </w:tabs>
      <w:ind w:left="709" w:hanging="709"/>
      <w:rPr>
        <w:rStyle w:val="Seitenzahl"/>
        <w:sz w:val="18"/>
      </w:rPr>
    </w:pPr>
    <w:r>
      <w:rPr>
        <w:noProof/>
      </w:rPr>
      <w:drawing>
        <wp:anchor distT="0" distB="0" distL="114300" distR="114300" simplePos="0" relativeHeight="251658240" behindDoc="0" locked="0" layoutInCell="1" allowOverlap="1" wp14:anchorId="3794C689" wp14:editId="5EECD4E7">
          <wp:simplePos x="0" y="0"/>
          <wp:positionH relativeFrom="margin">
            <wp:posOffset>4692650</wp:posOffset>
          </wp:positionH>
          <wp:positionV relativeFrom="margin">
            <wp:posOffset>-749935</wp:posOffset>
          </wp:positionV>
          <wp:extent cx="1226820" cy="579120"/>
          <wp:effectExtent l="0" t="0" r="0" b="0"/>
          <wp:wrapSquare wrapText="bothSides"/>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6820" cy="579120"/>
                  </a:xfrm>
                  <a:prstGeom prst="rect">
                    <a:avLst/>
                  </a:prstGeom>
                  <a:noFill/>
                </pic:spPr>
              </pic:pic>
            </a:graphicData>
          </a:graphic>
          <wp14:sizeRelH relativeFrom="page">
            <wp14:pctWidth>0</wp14:pctWidth>
          </wp14:sizeRelH>
          <wp14:sizeRelV relativeFrom="page">
            <wp14:pctHeight>0</wp14:pctHeight>
          </wp14:sizeRelV>
        </wp:anchor>
      </w:drawing>
    </w:r>
    <w:r w:rsidR="00040C88">
      <w:rPr>
        <w:sz w:val="18"/>
      </w:rPr>
      <w:t xml:space="preserve">Seite </w:t>
    </w:r>
    <w:r w:rsidR="00040C88">
      <w:rPr>
        <w:rStyle w:val="Seitenzahl"/>
        <w:sz w:val="18"/>
      </w:rPr>
      <w:fldChar w:fldCharType="begin"/>
    </w:r>
    <w:r w:rsidR="00040C88">
      <w:rPr>
        <w:rStyle w:val="Seitenzahl"/>
        <w:sz w:val="18"/>
      </w:rPr>
      <w:instrText xml:space="preserve"> PAGE </w:instrText>
    </w:r>
    <w:r w:rsidR="00040C88">
      <w:rPr>
        <w:rStyle w:val="Seitenzahl"/>
        <w:sz w:val="18"/>
      </w:rPr>
      <w:fldChar w:fldCharType="separate"/>
    </w:r>
    <w:r w:rsidR="007B2AA9">
      <w:rPr>
        <w:rStyle w:val="Seitenzahl"/>
        <w:noProof/>
        <w:sz w:val="18"/>
      </w:rPr>
      <w:t>2</w:t>
    </w:r>
    <w:r w:rsidR="00040C88">
      <w:rPr>
        <w:rStyle w:val="Seitenzahl"/>
        <w:sz w:val="18"/>
      </w:rPr>
      <w:fldChar w:fldCharType="end"/>
    </w:r>
    <w:r w:rsidR="00040C88">
      <w:rPr>
        <w:rStyle w:val="Seitenzahl"/>
        <w:sz w:val="18"/>
      </w:rPr>
      <w:t>:</w:t>
    </w:r>
    <w:r w:rsidR="007B0879">
      <w:rPr>
        <w:rStyle w:val="Seitenzahl"/>
        <w:sz w:val="18"/>
      </w:rPr>
      <w:tab/>
    </w:r>
    <w:r w:rsidR="004E3F15" w:rsidRPr="004E3F15">
      <w:rPr>
        <w:rStyle w:val="Seitenzahl"/>
        <w:sz w:val="18"/>
      </w:rPr>
      <w:t>ThermoView TV30 GigE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96BBC" w14:textId="4CF8D7C9" w:rsidR="00007664" w:rsidRPr="00007664" w:rsidRDefault="00CB6EF6" w:rsidP="00007664">
    <w:pPr>
      <w:pStyle w:val="Kopfzeile"/>
      <w:tabs>
        <w:tab w:val="clear" w:pos="4536"/>
        <w:tab w:val="clear" w:pos="9072"/>
      </w:tabs>
      <w:rPr>
        <w:rFonts w:cs="Arial"/>
        <w:sz w:val="2"/>
        <w:szCs w:val="2"/>
      </w:rPr>
    </w:pPr>
    <w:r>
      <w:rPr>
        <w:noProof/>
      </w:rPr>
      <w:drawing>
        <wp:anchor distT="0" distB="0" distL="114300" distR="114300" simplePos="0" relativeHeight="251657216" behindDoc="0" locked="0" layoutInCell="1" allowOverlap="1" wp14:anchorId="61914498" wp14:editId="462678E6">
          <wp:simplePos x="0" y="0"/>
          <wp:positionH relativeFrom="margin">
            <wp:posOffset>4687570</wp:posOffset>
          </wp:positionH>
          <wp:positionV relativeFrom="margin">
            <wp:posOffset>-749300</wp:posOffset>
          </wp:positionV>
          <wp:extent cx="1226820" cy="579120"/>
          <wp:effectExtent l="0" t="0" r="0" b="0"/>
          <wp:wrapSquare wrapText="bothSides"/>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6820" cy="57912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54473883">
    <w:abstractNumId w:val="0"/>
  </w:num>
  <w:num w:numId="2" w16cid:durableId="133449315">
    <w:abstractNumId w:val="3"/>
  </w:num>
  <w:num w:numId="3" w16cid:durableId="652222111">
    <w:abstractNumId w:val="2"/>
  </w:num>
  <w:num w:numId="4" w16cid:durableId="2135879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50E"/>
    <w:rsid w:val="000018AC"/>
    <w:rsid w:val="00007664"/>
    <w:rsid w:val="00007927"/>
    <w:rsid w:val="0001750E"/>
    <w:rsid w:val="0003348F"/>
    <w:rsid w:val="000338C9"/>
    <w:rsid w:val="00036A7E"/>
    <w:rsid w:val="00040C88"/>
    <w:rsid w:val="000609D1"/>
    <w:rsid w:val="00075A4D"/>
    <w:rsid w:val="000A0B46"/>
    <w:rsid w:val="000B4445"/>
    <w:rsid w:val="000C351D"/>
    <w:rsid w:val="000D69D3"/>
    <w:rsid w:val="000E22FB"/>
    <w:rsid w:val="000E5340"/>
    <w:rsid w:val="00121A3A"/>
    <w:rsid w:val="0012509E"/>
    <w:rsid w:val="00153718"/>
    <w:rsid w:val="001C4B0B"/>
    <w:rsid w:val="001F64C7"/>
    <w:rsid w:val="001F66DC"/>
    <w:rsid w:val="002238B0"/>
    <w:rsid w:val="0023294C"/>
    <w:rsid w:val="00291153"/>
    <w:rsid w:val="0029435B"/>
    <w:rsid w:val="00294F47"/>
    <w:rsid w:val="002A0AFB"/>
    <w:rsid w:val="002A791A"/>
    <w:rsid w:val="002D0662"/>
    <w:rsid w:val="002D4AD2"/>
    <w:rsid w:val="002E3C5B"/>
    <w:rsid w:val="002E584F"/>
    <w:rsid w:val="002E7571"/>
    <w:rsid w:val="00324658"/>
    <w:rsid w:val="00333A44"/>
    <w:rsid w:val="00370B60"/>
    <w:rsid w:val="003A20CC"/>
    <w:rsid w:val="003A6339"/>
    <w:rsid w:val="003F165F"/>
    <w:rsid w:val="003F5B67"/>
    <w:rsid w:val="004324BC"/>
    <w:rsid w:val="00435098"/>
    <w:rsid w:val="0044747E"/>
    <w:rsid w:val="00484BCC"/>
    <w:rsid w:val="004A6FF8"/>
    <w:rsid w:val="004A77B5"/>
    <w:rsid w:val="004B692B"/>
    <w:rsid w:val="004C0881"/>
    <w:rsid w:val="004E32B7"/>
    <w:rsid w:val="004E3F15"/>
    <w:rsid w:val="00511D97"/>
    <w:rsid w:val="00517BE8"/>
    <w:rsid w:val="00561E00"/>
    <w:rsid w:val="0056745B"/>
    <w:rsid w:val="00576C48"/>
    <w:rsid w:val="0059703F"/>
    <w:rsid w:val="00642628"/>
    <w:rsid w:val="00650F41"/>
    <w:rsid w:val="0065722C"/>
    <w:rsid w:val="00662E14"/>
    <w:rsid w:val="00666285"/>
    <w:rsid w:val="006B19A5"/>
    <w:rsid w:val="006B4547"/>
    <w:rsid w:val="006C6A22"/>
    <w:rsid w:val="006D13FE"/>
    <w:rsid w:val="00755111"/>
    <w:rsid w:val="00764C68"/>
    <w:rsid w:val="00771C29"/>
    <w:rsid w:val="007771CA"/>
    <w:rsid w:val="007878AB"/>
    <w:rsid w:val="007A4401"/>
    <w:rsid w:val="007B0879"/>
    <w:rsid w:val="007B2AA9"/>
    <w:rsid w:val="007D4ABE"/>
    <w:rsid w:val="007E49B2"/>
    <w:rsid w:val="00824C71"/>
    <w:rsid w:val="008546D6"/>
    <w:rsid w:val="008659D9"/>
    <w:rsid w:val="00866F94"/>
    <w:rsid w:val="00871D75"/>
    <w:rsid w:val="008739D1"/>
    <w:rsid w:val="00873F9E"/>
    <w:rsid w:val="008A0F92"/>
    <w:rsid w:val="008B7180"/>
    <w:rsid w:val="008C4446"/>
    <w:rsid w:val="008D7722"/>
    <w:rsid w:val="008F0F8C"/>
    <w:rsid w:val="009564A2"/>
    <w:rsid w:val="00977E1A"/>
    <w:rsid w:val="009C5A68"/>
    <w:rsid w:val="009F4799"/>
    <w:rsid w:val="00A15351"/>
    <w:rsid w:val="00A27FBD"/>
    <w:rsid w:val="00A4159A"/>
    <w:rsid w:val="00A51C2B"/>
    <w:rsid w:val="00A55D13"/>
    <w:rsid w:val="00A74117"/>
    <w:rsid w:val="00AA6C1B"/>
    <w:rsid w:val="00B06B96"/>
    <w:rsid w:val="00B20D79"/>
    <w:rsid w:val="00B265FF"/>
    <w:rsid w:val="00B6796C"/>
    <w:rsid w:val="00BA2B7F"/>
    <w:rsid w:val="00BC6C57"/>
    <w:rsid w:val="00BF480D"/>
    <w:rsid w:val="00BF5610"/>
    <w:rsid w:val="00BF68AC"/>
    <w:rsid w:val="00C0638D"/>
    <w:rsid w:val="00C35421"/>
    <w:rsid w:val="00C67050"/>
    <w:rsid w:val="00C84D78"/>
    <w:rsid w:val="00CB42D8"/>
    <w:rsid w:val="00CB6EF6"/>
    <w:rsid w:val="00CD446D"/>
    <w:rsid w:val="00D03B49"/>
    <w:rsid w:val="00D05494"/>
    <w:rsid w:val="00D17321"/>
    <w:rsid w:val="00D268A5"/>
    <w:rsid w:val="00D442B1"/>
    <w:rsid w:val="00D44AA1"/>
    <w:rsid w:val="00D545F5"/>
    <w:rsid w:val="00D54FEC"/>
    <w:rsid w:val="00D72EDD"/>
    <w:rsid w:val="00D96D48"/>
    <w:rsid w:val="00DA61DA"/>
    <w:rsid w:val="00DE009B"/>
    <w:rsid w:val="00E072FC"/>
    <w:rsid w:val="00E2029D"/>
    <w:rsid w:val="00E43B28"/>
    <w:rsid w:val="00E43C3A"/>
    <w:rsid w:val="00E6627E"/>
    <w:rsid w:val="00E83782"/>
    <w:rsid w:val="00EC06A2"/>
    <w:rsid w:val="00ED60A1"/>
    <w:rsid w:val="00EE1264"/>
    <w:rsid w:val="00EF4E8A"/>
    <w:rsid w:val="00F0058F"/>
    <w:rsid w:val="00F05694"/>
    <w:rsid w:val="00F35702"/>
    <w:rsid w:val="00F44AB4"/>
    <w:rsid w:val="00F5035B"/>
    <w:rsid w:val="00F55265"/>
    <w:rsid w:val="00F55C68"/>
    <w:rsid w:val="00F70ADA"/>
    <w:rsid w:val="00F833E3"/>
    <w:rsid w:val="00FC3995"/>
    <w:rsid w:val="00FD768F"/>
    <w:rsid w:val="00FE2A22"/>
    <w:rsid w:val="00FE2EEF"/>
    <w:rsid w:val="00FF7F9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A76C6E"/>
  <w15:chartTrackingRefBased/>
  <w15:docId w15:val="{4E1C7A93-98C0-4D37-A792-E1BCEC0D3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B7180"/>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Sprechblasentext">
    <w:name w:val="Balloon Text"/>
    <w:basedOn w:val="Standard"/>
    <w:link w:val="SprechblasentextZchn"/>
    <w:uiPriority w:val="99"/>
    <w:semiHidden/>
    <w:unhideWhenUsed/>
    <w:rsid w:val="009C5A68"/>
    <w:rPr>
      <w:rFonts w:ascii="Tahoma" w:hAnsi="Tahoma" w:cs="Tahoma"/>
      <w:sz w:val="16"/>
      <w:szCs w:val="16"/>
    </w:rPr>
  </w:style>
  <w:style w:type="character" w:customStyle="1" w:styleId="SprechblasentextZchn">
    <w:name w:val="Sprechblasentext Zchn"/>
    <w:link w:val="Sprechblasentext"/>
    <w:uiPriority w:val="99"/>
    <w:semiHidden/>
    <w:rsid w:val="009C5A68"/>
    <w:rPr>
      <w:rFonts w:ascii="Tahoma" w:hAnsi="Tahoma" w:cs="Tahoma"/>
      <w:sz w:val="16"/>
      <w:szCs w:val="16"/>
    </w:rPr>
  </w:style>
  <w:style w:type="character" w:styleId="Kommentarzeichen">
    <w:name w:val="annotation reference"/>
    <w:uiPriority w:val="99"/>
    <w:semiHidden/>
    <w:unhideWhenUsed/>
    <w:rsid w:val="00D17321"/>
    <w:rPr>
      <w:sz w:val="16"/>
      <w:szCs w:val="16"/>
    </w:rPr>
  </w:style>
  <w:style w:type="paragraph" w:styleId="Kommentartext">
    <w:name w:val="annotation text"/>
    <w:basedOn w:val="Standard"/>
    <w:link w:val="KommentartextZchn"/>
    <w:uiPriority w:val="99"/>
    <w:semiHidden/>
    <w:unhideWhenUsed/>
    <w:rsid w:val="00D17321"/>
  </w:style>
  <w:style w:type="character" w:customStyle="1" w:styleId="KommentartextZchn">
    <w:name w:val="Kommentartext Zchn"/>
    <w:link w:val="Kommentartext"/>
    <w:uiPriority w:val="99"/>
    <w:semiHidden/>
    <w:rsid w:val="00D17321"/>
    <w:rPr>
      <w:rFonts w:ascii="Arial" w:hAnsi="Arial"/>
    </w:rPr>
  </w:style>
  <w:style w:type="paragraph" w:styleId="Kommentarthema">
    <w:name w:val="annotation subject"/>
    <w:basedOn w:val="Kommentartext"/>
    <w:next w:val="Kommentartext"/>
    <w:link w:val="KommentarthemaZchn"/>
    <w:uiPriority w:val="99"/>
    <w:semiHidden/>
    <w:unhideWhenUsed/>
    <w:rsid w:val="00D17321"/>
    <w:rPr>
      <w:b/>
      <w:bCs/>
    </w:rPr>
  </w:style>
  <w:style w:type="character" w:customStyle="1" w:styleId="KommentarthemaZchn">
    <w:name w:val="Kommentarthema Zchn"/>
    <w:link w:val="Kommentarthema"/>
    <w:uiPriority w:val="99"/>
    <w:semiHidden/>
    <w:rsid w:val="00D17321"/>
    <w:rPr>
      <w:rFonts w:ascii="Arial" w:hAnsi="Arial"/>
      <w:b/>
      <w:bCs/>
    </w:rPr>
  </w:style>
  <w:style w:type="table" w:styleId="Tabellenraster">
    <w:name w:val="Table Grid"/>
    <w:basedOn w:val="NormaleTabelle"/>
    <w:uiPriority w:val="59"/>
    <w:rsid w:val="003F5B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7A4401"/>
    <w:rPr>
      <w:rFonts w:ascii="Arial" w:hAnsi="Arial"/>
      <w:b/>
      <w:sz w:val="32"/>
    </w:rPr>
  </w:style>
  <w:style w:type="character" w:customStyle="1" w:styleId="KopfzeileZchn">
    <w:name w:val="Kopfzeile Zchn"/>
    <w:link w:val="Kopfzeile"/>
    <w:semiHidden/>
    <w:rsid w:val="007A4401"/>
    <w:rPr>
      <w:rFonts w:ascii="Arial" w:hAnsi="Arial"/>
    </w:rPr>
  </w:style>
  <w:style w:type="character" w:styleId="NichtaufgelsteErwhnung">
    <w:name w:val="Unresolved Mention"/>
    <w:uiPriority w:val="99"/>
    <w:semiHidden/>
    <w:unhideWhenUsed/>
    <w:rsid w:val="007A4401"/>
    <w:rPr>
      <w:color w:val="605E5C"/>
      <w:shd w:val="clear" w:color="auto" w:fill="E1DFDD"/>
    </w:rPr>
  </w:style>
  <w:style w:type="character" w:styleId="BesuchterLink">
    <w:name w:val="FollowedHyperlink"/>
    <w:basedOn w:val="Absatz-Standardschriftart"/>
    <w:uiPriority w:val="99"/>
    <w:semiHidden/>
    <w:unhideWhenUsed/>
    <w:rsid w:val="004C088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848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lukeprocessinstruments.com/de/thermoview-tv30"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flukeprocessinstruments.com" TargetMode="External"/><Relationship Id="rId4" Type="http://schemas.openxmlformats.org/officeDocument/2006/relationships/webSettings" Target="webSettings.xml"/><Relationship Id="rId9" Type="http://schemas.openxmlformats.org/officeDocument/2006/relationships/hyperlink" Target="mailto:marketing@flukeprocessinstruments.de"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556</Words>
  <Characters>3510</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4058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Annika Schlee--gii</cp:lastModifiedBy>
  <cp:revision>11</cp:revision>
  <cp:lastPrinted>2015-07-29T06:34:00Z</cp:lastPrinted>
  <dcterms:created xsi:type="dcterms:W3CDTF">2024-01-17T08:54:00Z</dcterms:created>
  <dcterms:modified xsi:type="dcterms:W3CDTF">2024-01-24T12:00:00Z</dcterms:modified>
</cp:coreProperties>
</file>